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DC" w:rsidRPr="00E43EDE" w:rsidRDefault="00745EEE" w:rsidP="00A12DDC">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pict>
          <v:rect id="_x0000_s1066" style="position:absolute;margin-left:0;margin-top:11.5pt;width:98.25pt;height:3.55pt;z-index:-251606016" o:hrpct="272" o:hrstd="t" o:hrnoshade="t" o:hr="t" fillcolor="black" stroked="f">
            <w10:wrap type="square"/>
          </v:rect>
        </w:pict>
      </w:r>
      <w:r>
        <w:rPr>
          <w:rFonts w:ascii="Cambria" w:hAnsi="Cambria" w:cs="Calibri"/>
          <w:noProof/>
          <w:sz w:val="28"/>
          <w:szCs w:val="28"/>
        </w:rPr>
        <w:pict>
          <v:rect id="_x0000_s1067" style="position:absolute;margin-left:0;margin-top:9.75pt;width:488.25pt;height:1.75pt;z-index:251711488" o:hrstd="t" o:hrnoshade="t" o:hr="t" fillcolor="black" stroked="f">
            <w10:wrap type="square"/>
          </v:rect>
        </w:pict>
      </w:r>
      <w:r w:rsidR="00A12DDC" w:rsidRPr="00E43EDE">
        <w:rPr>
          <w:rFonts w:ascii="Cambria" w:hAnsi="Cambria" w:cs="Calibri"/>
          <w:b/>
          <w:sz w:val="28"/>
          <w:szCs w:val="28"/>
        </w:rPr>
        <w:t>POSTTEST</w:t>
      </w:r>
      <w:r w:rsidR="00A12DDC">
        <w:rPr>
          <w:rFonts w:ascii="Cambria" w:hAnsi="Cambria" w:cs="Calibri"/>
          <w:b/>
          <w:sz w:val="28"/>
          <w:szCs w:val="28"/>
        </w:rPr>
        <w:t xml:space="preserve"> KEY</w:t>
      </w:r>
    </w:p>
    <w:p w:rsidR="00A12DDC" w:rsidRPr="00887749" w:rsidRDefault="00A12DDC" w:rsidP="00A12DDC">
      <w:pPr>
        <w:tabs>
          <w:tab w:val="decimal" w:pos="360"/>
          <w:tab w:val="left" w:pos="720"/>
          <w:tab w:val="left" w:pos="1080"/>
          <w:tab w:val="right" w:pos="9630"/>
        </w:tabs>
        <w:autoSpaceDE w:val="0"/>
        <w:autoSpaceDN w:val="0"/>
        <w:adjustRightInd w:val="0"/>
        <w:spacing w:after="0" w:line="240" w:lineRule="auto"/>
        <w:rPr>
          <w:rFonts w:cs="Calibri"/>
          <w:sz w:val="24"/>
          <w:szCs w:val="24"/>
        </w:rPr>
      </w:pPr>
    </w:p>
    <w:p w:rsidR="00A12DDC" w:rsidRPr="00194B32" w:rsidRDefault="00A12DDC" w:rsidP="00A12DDC">
      <w:pPr>
        <w:tabs>
          <w:tab w:val="decimal" w:pos="360"/>
          <w:tab w:val="left" w:pos="720"/>
          <w:tab w:val="left" w:pos="1080"/>
          <w:tab w:val="right" w:pos="9720"/>
        </w:tabs>
        <w:autoSpaceDE w:val="0"/>
        <w:autoSpaceDN w:val="0"/>
        <w:adjustRightInd w:val="0"/>
        <w:spacing w:after="240" w:line="240" w:lineRule="auto"/>
        <w:rPr>
          <w:rFonts w:cs="Calibri"/>
          <w:b/>
          <w:sz w:val="24"/>
          <w:szCs w:val="24"/>
        </w:rPr>
      </w:pPr>
      <w:r w:rsidRPr="00194B32">
        <w:rPr>
          <w:rFonts w:cs="Calibri"/>
          <w:b/>
          <w:sz w:val="24"/>
          <w:szCs w:val="24"/>
        </w:rPr>
        <w:t>OBJECTIVE A</w:t>
      </w:r>
    </w:p>
    <w:p w:rsidR="00D17CC6" w:rsidRPr="000C636D" w:rsidRDefault="00D17CC6" w:rsidP="000C636D">
      <w:pPr>
        <w:pStyle w:val="postkey0"/>
        <w:rPr>
          <w:rFonts w:asciiTheme="minorHAnsi" w:hAnsiTheme="minorHAnsi"/>
        </w:rPr>
      </w:pPr>
      <w:r w:rsidRPr="000C636D">
        <w:rPr>
          <w:rFonts w:asciiTheme="minorHAnsi" w:hAnsiTheme="minorHAnsi"/>
        </w:rPr>
        <w:tab/>
        <w:t>1.</w:t>
      </w:r>
      <w:r w:rsidRPr="000C636D">
        <w:rPr>
          <w:rFonts w:asciiTheme="minorHAnsi" w:hAnsiTheme="minorHAnsi"/>
        </w:rPr>
        <w:tab/>
      </w:r>
      <w:proofErr w:type="gramStart"/>
      <w:r w:rsidRPr="000C636D">
        <w:rPr>
          <w:rFonts w:asciiTheme="minorHAnsi" w:hAnsiTheme="minorHAnsi" w:cs="Helvetica-Condensed-Bold"/>
          <w:b/>
        </w:rPr>
        <w:t>d</w:t>
      </w:r>
      <w:proofErr w:type="gramEnd"/>
      <w:r w:rsidRPr="000C636D">
        <w:rPr>
          <w:rFonts w:asciiTheme="minorHAnsi" w:hAnsiTheme="minorHAnsi" w:cs="Helvetica-Condensed-Bold"/>
          <w:b/>
        </w:rPr>
        <w:tab/>
        <w:t>Return.</w:t>
      </w:r>
      <w:r w:rsidR="00323551">
        <w:rPr>
          <w:rFonts w:asciiTheme="minorHAnsi" w:hAnsiTheme="minorHAnsi"/>
        </w:rPr>
        <w:t xml:space="preserve"> </w:t>
      </w:r>
      <w:r w:rsidRPr="000C636D">
        <w:rPr>
          <w:rFonts w:asciiTheme="minorHAnsi" w:hAnsiTheme="minorHAnsi"/>
        </w:rPr>
        <w:t>Investors are willing to take a risk for the potential of return (reward or benefit they might receive).</w:t>
      </w:r>
      <w:r w:rsidR="00323551">
        <w:rPr>
          <w:rFonts w:asciiTheme="minorHAnsi" w:hAnsiTheme="minorHAnsi"/>
        </w:rPr>
        <w:t xml:space="preserve"> </w:t>
      </w:r>
      <w:r w:rsidRPr="000C636D">
        <w:rPr>
          <w:rFonts w:asciiTheme="minorHAnsi" w:hAnsiTheme="minorHAnsi"/>
        </w:rPr>
        <w:t>The return is what the investment can potentially earn for the inve</w:t>
      </w:r>
      <w:r w:rsidRPr="000C636D">
        <w:rPr>
          <w:rFonts w:asciiTheme="minorHAnsi" w:hAnsiTheme="minorHAnsi"/>
        </w:rPr>
        <w:t>s</w:t>
      </w:r>
      <w:r w:rsidRPr="000C636D">
        <w:rPr>
          <w:rFonts w:asciiTheme="minorHAnsi" w:hAnsiTheme="minorHAnsi"/>
        </w:rPr>
        <w:t>tor.</w:t>
      </w:r>
      <w:r w:rsidR="00323551">
        <w:rPr>
          <w:rFonts w:asciiTheme="minorHAnsi" w:hAnsiTheme="minorHAnsi"/>
        </w:rPr>
        <w:t xml:space="preserve"> </w:t>
      </w:r>
      <w:r w:rsidRPr="000C636D">
        <w:rPr>
          <w:rFonts w:asciiTheme="minorHAnsi" w:hAnsiTheme="minorHAnsi"/>
        </w:rPr>
        <w:t>Prizes are awarded to players in sweepstakes contests.</w:t>
      </w:r>
      <w:r w:rsidR="00323551">
        <w:rPr>
          <w:rFonts w:asciiTheme="minorHAnsi" w:hAnsiTheme="minorHAnsi"/>
        </w:rPr>
        <w:t xml:space="preserve"> </w:t>
      </w:r>
      <w:r w:rsidRPr="000C636D">
        <w:rPr>
          <w:rFonts w:asciiTheme="minorHAnsi" w:hAnsiTheme="minorHAnsi"/>
        </w:rPr>
        <w:t>Bonuses are added to emplo</w:t>
      </w:r>
      <w:r w:rsidRPr="000C636D">
        <w:rPr>
          <w:rFonts w:asciiTheme="minorHAnsi" w:hAnsiTheme="minorHAnsi"/>
        </w:rPr>
        <w:t>y</w:t>
      </w:r>
      <w:r w:rsidRPr="000C636D">
        <w:rPr>
          <w:rFonts w:asciiTheme="minorHAnsi" w:hAnsiTheme="minorHAnsi"/>
        </w:rPr>
        <w:t>ees’ paychecks.</w:t>
      </w:r>
      <w:r w:rsidR="00323551">
        <w:rPr>
          <w:rFonts w:asciiTheme="minorHAnsi" w:hAnsiTheme="minorHAnsi"/>
        </w:rPr>
        <w:t xml:space="preserve"> </w:t>
      </w:r>
      <w:r w:rsidRPr="000C636D">
        <w:rPr>
          <w:rFonts w:asciiTheme="minorHAnsi" w:hAnsiTheme="minorHAnsi"/>
        </w:rPr>
        <w:t>And, recognition is positive attention f</w:t>
      </w:r>
      <w:r w:rsidR="00887749">
        <w:rPr>
          <w:rFonts w:asciiTheme="minorHAnsi" w:hAnsiTheme="minorHAnsi"/>
        </w:rPr>
        <w:t xml:space="preserve">or extraordinary achievements. </w:t>
      </w:r>
      <w:r w:rsidRPr="000C636D">
        <w:rPr>
          <w:rFonts w:asciiTheme="minorHAnsi" w:hAnsiTheme="minorHAnsi"/>
        </w:rPr>
        <w:t xml:space="preserve">Prizes, bonuses, and recognition do not provide </w:t>
      </w:r>
      <w:r w:rsidR="00887749">
        <w:rPr>
          <w:rFonts w:asciiTheme="minorHAnsi" w:hAnsiTheme="minorHAnsi"/>
        </w:rPr>
        <w:t>the motivation for investing.</w:t>
      </w:r>
      <w:r w:rsidR="00887749">
        <w:rPr>
          <w:rFonts w:asciiTheme="minorHAnsi" w:hAnsiTheme="minorHAnsi"/>
        </w:rPr>
        <w:tab/>
        <w:t xml:space="preserve"> </w:t>
      </w:r>
      <w:r w:rsidRPr="000C636D">
        <w:rPr>
          <w:rFonts w:asciiTheme="minorHAnsi" w:hAnsiTheme="minorHAnsi"/>
        </w:rPr>
        <w:t>(</w:t>
      </w:r>
      <w:r w:rsidR="002B1C70">
        <w:t>5</w:t>
      </w:r>
      <w:r w:rsidRPr="000C636D">
        <w:rPr>
          <w:rFonts w:asciiTheme="minorHAnsi" w:hAnsiTheme="minorHAnsi"/>
        </w:rPr>
        <w:t xml:space="preserve"> points)</w:t>
      </w:r>
    </w:p>
    <w:p w:rsidR="00D17CC6" w:rsidRPr="000C636D" w:rsidRDefault="00D17CC6" w:rsidP="000C636D">
      <w:pPr>
        <w:pStyle w:val="postkey0"/>
        <w:rPr>
          <w:rFonts w:asciiTheme="minorHAnsi" w:hAnsiTheme="minorHAnsi"/>
        </w:rPr>
      </w:pPr>
      <w:r w:rsidRPr="000C636D">
        <w:rPr>
          <w:rFonts w:asciiTheme="minorHAnsi" w:hAnsiTheme="minorHAnsi"/>
        </w:rPr>
        <w:tab/>
        <w:t>2.</w:t>
      </w:r>
      <w:r w:rsidRPr="000C636D">
        <w:rPr>
          <w:rFonts w:asciiTheme="minorHAnsi" w:hAnsiTheme="minorHAnsi"/>
        </w:rPr>
        <w:tab/>
      </w:r>
      <w:proofErr w:type="spellStart"/>
      <w:proofErr w:type="gramStart"/>
      <w:r w:rsidRPr="000C636D">
        <w:rPr>
          <w:rFonts w:asciiTheme="minorHAnsi" w:hAnsiTheme="minorHAnsi" w:cs="Helvetica-Condensed-Bold"/>
          <w:b/>
        </w:rPr>
        <w:t>a</w:t>
      </w:r>
      <w:proofErr w:type="spellEnd"/>
      <w:proofErr w:type="gramEnd"/>
      <w:r w:rsidRPr="000C636D">
        <w:rPr>
          <w:rFonts w:asciiTheme="minorHAnsi" w:hAnsiTheme="minorHAnsi" w:cs="Helvetica-Condensed-Bold"/>
          <w:b/>
        </w:rPr>
        <w:tab/>
        <w:t>For the potential of a high return, you usually accept a high risk.</w:t>
      </w:r>
      <w:r w:rsidR="00887749">
        <w:rPr>
          <w:rFonts w:asciiTheme="minorHAnsi" w:hAnsiTheme="minorHAnsi"/>
        </w:rPr>
        <w:t xml:space="preserve"> </w:t>
      </w:r>
      <w:r w:rsidRPr="000C636D">
        <w:rPr>
          <w:rFonts w:asciiTheme="minorHAnsi" w:hAnsiTheme="minorHAnsi"/>
        </w:rPr>
        <w:t>The statement, “For the potential of a high return, you usually accept a high risk,” describes the relationship b</w:t>
      </w:r>
      <w:r w:rsidRPr="000C636D">
        <w:rPr>
          <w:rFonts w:asciiTheme="minorHAnsi" w:hAnsiTheme="minorHAnsi"/>
        </w:rPr>
        <w:t>e</w:t>
      </w:r>
      <w:r w:rsidRPr="000C636D">
        <w:rPr>
          <w:rFonts w:asciiTheme="minorHAnsi" w:hAnsiTheme="minorHAnsi"/>
        </w:rPr>
        <w:t>tween risk and return.</w:t>
      </w:r>
      <w:r w:rsidR="00323551">
        <w:rPr>
          <w:rFonts w:asciiTheme="minorHAnsi" w:hAnsiTheme="minorHAnsi"/>
        </w:rPr>
        <w:t xml:space="preserve"> </w:t>
      </w:r>
      <w:r w:rsidRPr="000C636D">
        <w:rPr>
          <w:rFonts w:asciiTheme="minorHAnsi" w:hAnsiTheme="minorHAnsi"/>
        </w:rPr>
        <w:t>Higher risks</w:t>
      </w:r>
      <w:r w:rsidR="00887749">
        <w:rPr>
          <w:rFonts w:asciiTheme="minorHAnsi" w:hAnsiTheme="minorHAnsi"/>
        </w:rPr>
        <w:t xml:space="preserve"> usually bring higher returns. </w:t>
      </w:r>
      <w:r w:rsidRPr="000C636D">
        <w:rPr>
          <w:rFonts w:asciiTheme="minorHAnsi" w:hAnsiTheme="minorHAnsi"/>
        </w:rPr>
        <w:t>Lower risk</w:t>
      </w:r>
      <w:r w:rsidR="00887749">
        <w:rPr>
          <w:rFonts w:asciiTheme="minorHAnsi" w:hAnsiTheme="minorHAnsi"/>
        </w:rPr>
        <w:t xml:space="preserve">s usually bring lower returns. </w:t>
      </w:r>
      <w:r w:rsidRPr="000C636D">
        <w:rPr>
          <w:rFonts w:asciiTheme="minorHAnsi" w:hAnsiTheme="minorHAnsi"/>
        </w:rPr>
        <w:t>Every investment has some risk—none are risk-free.</w:t>
      </w:r>
      <w:r w:rsidR="00323551">
        <w:rPr>
          <w:rFonts w:asciiTheme="minorHAnsi" w:hAnsiTheme="minorHAnsi"/>
        </w:rPr>
        <w:t xml:space="preserve"> </w:t>
      </w:r>
      <w:r w:rsidRPr="000C636D">
        <w:rPr>
          <w:rFonts w:asciiTheme="minorHAnsi" w:hAnsiTheme="minorHAnsi"/>
        </w:rPr>
        <w:t xml:space="preserve">It would be unwise to take a high risk for something </w:t>
      </w:r>
      <w:r w:rsidR="00887749">
        <w:rPr>
          <w:rFonts w:asciiTheme="minorHAnsi" w:hAnsiTheme="minorHAnsi"/>
        </w:rPr>
        <w:t xml:space="preserve">that might bring a low return. </w:t>
      </w:r>
      <w:r w:rsidRPr="000C636D">
        <w:rPr>
          <w:rFonts w:asciiTheme="minorHAnsi" w:hAnsiTheme="minorHAnsi"/>
        </w:rPr>
        <w:t>And, it is nearly impossible to find a high-return investment th</w:t>
      </w:r>
      <w:r w:rsidR="00887749">
        <w:rPr>
          <w:rFonts w:asciiTheme="minorHAnsi" w:hAnsiTheme="minorHAnsi"/>
        </w:rPr>
        <w:t>at requires only a low risk.</w:t>
      </w:r>
      <w:r w:rsidR="00323551">
        <w:rPr>
          <w:rFonts w:asciiTheme="minorHAnsi" w:hAnsiTheme="minorHAnsi"/>
        </w:rPr>
        <w:t xml:space="preserve"> </w:t>
      </w:r>
      <w:r w:rsidR="00887749">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p>
    <w:p w:rsidR="000A2DB1" w:rsidRPr="000C636D" w:rsidRDefault="000C636D" w:rsidP="000C636D">
      <w:pPr>
        <w:pStyle w:val="postkey0"/>
        <w:rPr>
          <w:rFonts w:asciiTheme="minorHAnsi" w:hAnsiTheme="minorHAnsi"/>
        </w:rPr>
      </w:pPr>
      <w:r w:rsidRPr="000C636D">
        <w:rPr>
          <w:rFonts w:asciiTheme="minorHAnsi" w:hAnsiTheme="minorHAnsi"/>
        </w:rPr>
        <w:tab/>
      </w:r>
      <w:r w:rsidR="00D17CC6" w:rsidRPr="000C636D">
        <w:rPr>
          <w:rFonts w:asciiTheme="minorHAnsi" w:hAnsiTheme="minorHAnsi"/>
        </w:rPr>
        <w:t>3.</w:t>
      </w:r>
      <w:r w:rsidR="000A2DB1" w:rsidRPr="000C636D">
        <w:rPr>
          <w:rFonts w:asciiTheme="minorHAnsi" w:hAnsiTheme="minorHAnsi"/>
          <w:b/>
        </w:rPr>
        <w:tab/>
      </w:r>
      <w:proofErr w:type="gramStart"/>
      <w:r w:rsidR="000A2DB1" w:rsidRPr="000C636D">
        <w:rPr>
          <w:rFonts w:asciiTheme="minorHAnsi" w:hAnsiTheme="minorHAnsi"/>
          <w:b/>
        </w:rPr>
        <w:t>d</w:t>
      </w:r>
      <w:proofErr w:type="gramEnd"/>
      <w:r w:rsidR="000A2DB1" w:rsidRPr="000C636D">
        <w:rPr>
          <w:rFonts w:asciiTheme="minorHAnsi" w:hAnsiTheme="minorHAnsi"/>
          <w:b/>
        </w:rPr>
        <w:tab/>
        <w:t>Goals</w:t>
      </w:r>
      <w:r w:rsidR="000A2DB1" w:rsidRPr="000C636D">
        <w:rPr>
          <w:rFonts w:asciiTheme="minorHAnsi" w:hAnsiTheme="minorHAnsi"/>
        </w:rPr>
        <w:t>. The three factors that determine an investor’s risk tolerance are goals, time</w:t>
      </w:r>
      <w:r w:rsidR="00E32425">
        <w:rPr>
          <w:rFonts w:asciiTheme="minorHAnsi" w:hAnsiTheme="minorHAnsi"/>
        </w:rPr>
        <w:t xml:space="preserve"> </w:t>
      </w:r>
      <w:r w:rsidR="000A2DB1" w:rsidRPr="000C636D">
        <w:rPr>
          <w:rFonts w:asciiTheme="minorHAnsi" w:hAnsiTheme="minorHAnsi"/>
        </w:rPr>
        <w:t xml:space="preserve">frame, and personality. Social status, banking institution, and income do not necessarily influence how much risk an investor should take. </w:t>
      </w:r>
      <w:r w:rsidR="00887749">
        <w:rPr>
          <w:rFonts w:asciiTheme="minorHAnsi" w:hAnsiTheme="minorHAnsi"/>
        </w:rPr>
        <w:tab/>
      </w:r>
      <w:r w:rsidR="00887749" w:rsidRPr="000C636D">
        <w:rPr>
          <w:rFonts w:asciiTheme="minorHAnsi" w:hAnsiTheme="minorHAnsi"/>
        </w:rPr>
        <w:t>(</w:t>
      </w:r>
      <w:r w:rsidR="002B1C70">
        <w:t>5</w:t>
      </w:r>
      <w:r w:rsidR="00887749" w:rsidRPr="000C636D">
        <w:rPr>
          <w:rFonts w:asciiTheme="minorHAnsi" w:hAnsiTheme="minorHAnsi"/>
        </w:rPr>
        <w:t xml:space="preserve"> points)</w:t>
      </w:r>
    </w:p>
    <w:p w:rsidR="000A2DB1" w:rsidRPr="000C636D" w:rsidRDefault="00430303" w:rsidP="000C636D">
      <w:pPr>
        <w:pStyle w:val="postkey0"/>
        <w:rPr>
          <w:rFonts w:asciiTheme="minorHAnsi" w:hAnsiTheme="minorHAnsi"/>
        </w:rPr>
      </w:pPr>
      <w:r w:rsidRPr="000C636D">
        <w:rPr>
          <w:rFonts w:asciiTheme="minorHAnsi" w:hAnsiTheme="minorHAnsi"/>
        </w:rPr>
        <w:tab/>
        <w:t>4.</w:t>
      </w:r>
      <w:r w:rsidRPr="000C636D">
        <w:rPr>
          <w:rFonts w:asciiTheme="minorHAnsi" w:hAnsiTheme="minorHAnsi"/>
        </w:rPr>
        <w:tab/>
      </w:r>
      <w:proofErr w:type="gramStart"/>
      <w:r w:rsidRPr="000C636D">
        <w:rPr>
          <w:rFonts w:asciiTheme="minorHAnsi" w:hAnsiTheme="minorHAnsi" w:cs="Helvetica-Condensed-Bold"/>
          <w:b/>
        </w:rPr>
        <w:t>a</w:t>
      </w:r>
      <w:proofErr w:type="gramEnd"/>
      <w:r w:rsidRPr="000C636D">
        <w:rPr>
          <w:rFonts w:asciiTheme="minorHAnsi" w:hAnsiTheme="minorHAnsi" w:cs="Helvetica-Condensed-Bold"/>
          <w:b/>
        </w:rPr>
        <w:tab/>
        <w:t>One investment to another.</w:t>
      </w:r>
      <w:r w:rsidR="00887749">
        <w:rPr>
          <w:rFonts w:asciiTheme="minorHAnsi" w:hAnsiTheme="minorHAnsi"/>
        </w:rPr>
        <w:t xml:space="preserve"> </w:t>
      </w:r>
      <w:r w:rsidRPr="000C636D">
        <w:rPr>
          <w:rFonts w:asciiTheme="minorHAnsi" w:hAnsiTheme="minorHAnsi"/>
        </w:rPr>
        <w:t>The purpose of the risk pyramid is to show a comparison</w:t>
      </w:r>
      <w:r w:rsidR="00887749">
        <w:rPr>
          <w:rFonts w:asciiTheme="minorHAnsi" w:hAnsiTheme="minorHAnsi"/>
        </w:rPr>
        <w:t xml:space="preserve"> of one investment to another. </w:t>
      </w:r>
      <w:r w:rsidRPr="000C636D">
        <w:rPr>
          <w:rFonts w:asciiTheme="minorHAnsi" w:hAnsiTheme="minorHAnsi"/>
        </w:rPr>
        <w:t xml:space="preserve">With high-, moderate-, and low-risk categories, the pyramid helps you to see which investments are more or less risky than others. Near the peak are the most risky </w:t>
      </w:r>
      <w:proofErr w:type="gramStart"/>
      <w:r w:rsidRPr="000C636D">
        <w:rPr>
          <w:rFonts w:asciiTheme="minorHAnsi" w:hAnsiTheme="minorHAnsi"/>
        </w:rPr>
        <w:t>investments,</w:t>
      </w:r>
      <w:proofErr w:type="gramEnd"/>
      <w:r w:rsidRPr="000C636D">
        <w:rPr>
          <w:rFonts w:asciiTheme="minorHAnsi" w:hAnsiTheme="minorHAnsi"/>
        </w:rPr>
        <w:t xml:space="preserve"> while at the base </w:t>
      </w:r>
      <w:r w:rsidR="00887749">
        <w:rPr>
          <w:rFonts w:asciiTheme="minorHAnsi" w:hAnsiTheme="minorHAnsi"/>
        </w:rPr>
        <w:t xml:space="preserve">are the most reliable returns. </w:t>
      </w:r>
      <w:r w:rsidRPr="000C636D">
        <w:rPr>
          <w:rFonts w:asciiTheme="minorHAnsi" w:hAnsiTheme="minorHAnsi"/>
        </w:rPr>
        <w:t xml:space="preserve">The purpose </w:t>
      </w:r>
      <w:r w:rsidR="00066BEC">
        <w:rPr>
          <w:rFonts w:asciiTheme="minorHAnsi" w:hAnsiTheme="minorHAnsi"/>
        </w:rPr>
        <w:br/>
      </w:r>
      <w:r w:rsidRPr="000C636D">
        <w:rPr>
          <w:rFonts w:asciiTheme="minorHAnsi" w:hAnsiTheme="minorHAnsi"/>
        </w:rPr>
        <w:t xml:space="preserve">of the risk pyramid is not </w:t>
      </w:r>
      <w:r w:rsidRPr="000C636D">
        <w:rPr>
          <w:rFonts w:asciiTheme="minorHAnsi" w:hAnsiTheme="minorHAnsi" w:cs="Helvetica-Condensed-Oblique"/>
          <w:i/>
          <w:iCs/>
        </w:rPr>
        <w:t>just</w:t>
      </w:r>
      <w:r w:rsidRPr="000C636D">
        <w:rPr>
          <w:rFonts w:asciiTheme="minorHAnsi" w:hAnsiTheme="minorHAnsi"/>
        </w:rPr>
        <w:t xml:space="preserve"> to compare stocks to stock mutual funds, corporate bonds </w:t>
      </w:r>
      <w:r w:rsidR="00066BEC">
        <w:rPr>
          <w:rFonts w:asciiTheme="minorHAnsi" w:hAnsiTheme="minorHAnsi"/>
        </w:rPr>
        <w:br/>
      </w:r>
      <w:r w:rsidRPr="000C636D">
        <w:rPr>
          <w:rFonts w:asciiTheme="minorHAnsi" w:hAnsiTheme="minorHAnsi"/>
        </w:rPr>
        <w:t>to municipal bon</w:t>
      </w:r>
      <w:r w:rsidR="00887749">
        <w:rPr>
          <w:rFonts w:asciiTheme="minorHAnsi" w:hAnsiTheme="minorHAnsi"/>
        </w:rPr>
        <w:t>ds, or one stock to another.</w:t>
      </w:r>
      <w:r w:rsidR="00887749">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r w:rsidR="0007709C">
        <w:rPr>
          <w:rFonts w:asciiTheme="minorHAnsi" w:hAnsiTheme="minorHAnsi"/>
        </w:rPr>
        <w:t>)</w:t>
      </w:r>
    </w:p>
    <w:p w:rsidR="00430303" w:rsidRPr="000C636D" w:rsidRDefault="00430303" w:rsidP="000C636D">
      <w:pPr>
        <w:pStyle w:val="postkey0"/>
        <w:rPr>
          <w:rFonts w:asciiTheme="minorHAnsi" w:hAnsiTheme="minorHAnsi"/>
        </w:rPr>
      </w:pPr>
      <w:r w:rsidRPr="000C636D">
        <w:rPr>
          <w:rFonts w:asciiTheme="minorHAnsi" w:hAnsiTheme="minorHAnsi"/>
        </w:rPr>
        <w:tab/>
        <w:t>5.</w:t>
      </w:r>
      <w:r w:rsidRPr="000C636D">
        <w:rPr>
          <w:rFonts w:asciiTheme="minorHAnsi" w:hAnsiTheme="minorHAnsi"/>
        </w:rPr>
        <w:tab/>
      </w:r>
      <w:proofErr w:type="gramStart"/>
      <w:r w:rsidRPr="000C636D">
        <w:rPr>
          <w:rFonts w:asciiTheme="minorHAnsi" w:hAnsiTheme="minorHAnsi" w:cs="Helvetica-Condensed-Bold"/>
          <w:b/>
        </w:rPr>
        <w:t>b</w:t>
      </w:r>
      <w:proofErr w:type="gramEnd"/>
      <w:r w:rsidRPr="000C636D">
        <w:rPr>
          <w:rFonts w:asciiTheme="minorHAnsi" w:hAnsiTheme="minorHAnsi" w:cs="Helvetica-Condensed-Bold"/>
          <w:b/>
        </w:rPr>
        <w:tab/>
        <w:t>Securities.</w:t>
      </w:r>
      <w:r w:rsidR="00BA1EB2">
        <w:rPr>
          <w:rFonts w:asciiTheme="minorHAnsi" w:hAnsiTheme="minorHAnsi"/>
        </w:rPr>
        <w:t xml:space="preserve"> </w:t>
      </w:r>
      <w:r w:rsidRPr="000C636D">
        <w:rPr>
          <w:rFonts w:asciiTheme="minorHAnsi" w:hAnsiTheme="minorHAnsi"/>
        </w:rPr>
        <w:t>In investing, legal lending or owning agreements between individuals, busines</w:t>
      </w:r>
      <w:r w:rsidRPr="000C636D">
        <w:rPr>
          <w:rFonts w:asciiTheme="minorHAnsi" w:hAnsiTheme="minorHAnsi"/>
        </w:rPr>
        <w:t>s</w:t>
      </w:r>
      <w:proofErr w:type="gramStart"/>
      <w:r w:rsidRPr="000C636D">
        <w:rPr>
          <w:rFonts w:asciiTheme="minorHAnsi" w:hAnsiTheme="minorHAnsi"/>
        </w:rPr>
        <w:t>es</w:t>
      </w:r>
      <w:proofErr w:type="gramEnd"/>
      <w:r w:rsidRPr="000C636D">
        <w:rPr>
          <w:rFonts w:asciiTheme="minorHAnsi" w:hAnsiTheme="minorHAnsi"/>
        </w:rPr>
        <w:t>, or govern</w:t>
      </w:r>
      <w:r w:rsidR="00BA1EB2">
        <w:rPr>
          <w:rFonts w:asciiTheme="minorHAnsi" w:hAnsiTheme="minorHAnsi"/>
        </w:rPr>
        <w:t xml:space="preserve">ments are known as securities. </w:t>
      </w:r>
      <w:r w:rsidRPr="000C636D">
        <w:rPr>
          <w:rFonts w:asciiTheme="minorHAnsi" w:hAnsiTheme="minorHAnsi"/>
        </w:rPr>
        <w:t>Securities can be separated into “len</w:t>
      </w:r>
      <w:r w:rsidR="00BA1EB2">
        <w:rPr>
          <w:rFonts w:asciiTheme="minorHAnsi" w:hAnsiTheme="minorHAnsi"/>
        </w:rPr>
        <w:t xml:space="preserve">ding” and “owning” categories. </w:t>
      </w:r>
      <w:r w:rsidRPr="000C636D">
        <w:rPr>
          <w:rFonts w:asciiTheme="minorHAnsi" w:hAnsiTheme="minorHAnsi"/>
        </w:rPr>
        <w:t>Bonds are o</w:t>
      </w:r>
      <w:r w:rsidR="00BA1EB2">
        <w:rPr>
          <w:rFonts w:asciiTheme="minorHAnsi" w:hAnsiTheme="minorHAnsi"/>
        </w:rPr>
        <w:t xml:space="preserve">ne type of lending investment. </w:t>
      </w:r>
      <w:r w:rsidRPr="000C636D">
        <w:rPr>
          <w:rFonts w:asciiTheme="minorHAnsi" w:hAnsiTheme="minorHAnsi"/>
        </w:rPr>
        <w:t>Contracts are legal agreements, in general—not nec</w:t>
      </w:r>
      <w:r w:rsidR="00BA1EB2">
        <w:rPr>
          <w:rFonts w:asciiTheme="minorHAnsi" w:hAnsiTheme="minorHAnsi"/>
        </w:rPr>
        <w:t xml:space="preserve">essarily related to investing. </w:t>
      </w:r>
      <w:r w:rsidRPr="000C636D">
        <w:rPr>
          <w:rFonts w:asciiTheme="minorHAnsi" w:hAnsiTheme="minorHAnsi"/>
        </w:rPr>
        <w:t>Guarantees are sometimes provided by sellers to b</w:t>
      </w:r>
      <w:r w:rsidR="00BA1EB2">
        <w:rPr>
          <w:rFonts w:asciiTheme="minorHAnsi" w:hAnsiTheme="minorHAnsi"/>
        </w:rPr>
        <w:t>uyers in a purchase situation.</w:t>
      </w:r>
      <w:r w:rsidR="00BA1EB2">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p>
    <w:p w:rsidR="00430303" w:rsidRPr="000C636D" w:rsidRDefault="00430303" w:rsidP="000C636D">
      <w:pPr>
        <w:pStyle w:val="postkey0"/>
        <w:rPr>
          <w:rFonts w:asciiTheme="minorHAnsi" w:hAnsiTheme="minorHAnsi"/>
        </w:rPr>
      </w:pPr>
      <w:r w:rsidRPr="000C636D">
        <w:rPr>
          <w:rFonts w:asciiTheme="minorHAnsi" w:hAnsiTheme="minorHAnsi"/>
        </w:rPr>
        <w:tab/>
        <w:t>6.</w:t>
      </w:r>
      <w:r w:rsidRPr="000C636D">
        <w:rPr>
          <w:rFonts w:asciiTheme="minorHAnsi" w:hAnsiTheme="minorHAnsi"/>
        </w:rPr>
        <w:tab/>
      </w:r>
      <w:proofErr w:type="gramStart"/>
      <w:r w:rsidRPr="000C636D">
        <w:rPr>
          <w:rFonts w:asciiTheme="minorHAnsi" w:hAnsiTheme="minorHAnsi" w:cs="Helvetica-Condensed-Bold"/>
          <w:b/>
        </w:rPr>
        <w:t>c</w:t>
      </w:r>
      <w:proofErr w:type="gramEnd"/>
      <w:r w:rsidRPr="000C636D">
        <w:rPr>
          <w:rFonts w:asciiTheme="minorHAnsi" w:hAnsiTheme="minorHAnsi" w:cs="Helvetica-Condensed-Bold"/>
          <w:b/>
        </w:rPr>
        <w:tab/>
        <w:t>Allow borrowers to use their money for a price.</w:t>
      </w:r>
      <w:r w:rsidR="00BA1EB2">
        <w:rPr>
          <w:rFonts w:asciiTheme="minorHAnsi" w:hAnsiTheme="minorHAnsi"/>
        </w:rPr>
        <w:t xml:space="preserve"> </w:t>
      </w:r>
      <w:r w:rsidRPr="000C636D">
        <w:rPr>
          <w:rFonts w:asciiTheme="minorHAnsi" w:hAnsiTheme="minorHAnsi"/>
        </w:rPr>
        <w:t xml:space="preserve">With a lending investment, investors </w:t>
      </w:r>
      <w:r w:rsidR="007B1D9F">
        <w:rPr>
          <w:rFonts w:asciiTheme="minorHAnsi" w:hAnsiTheme="minorHAnsi"/>
        </w:rPr>
        <w:br/>
      </w:r>
      <w:r w:rsidRPr="000C636D">
        <w:rPr>
          <w:rFonts w:asciiTheme="minorHAnsi" w:hAnsiTheme="minorHAnsi"/>
        </w:rPr>
        <w:t>allow borrowers t</w:t>
      </w:r>
      <w:r w:rsidR="00BA1EB2">
        <w:rPr>
          <w:rFonts w:asciiTheme="minorHAnsi" w:hAnsiTheme="minorHAnsi"/>
        </w:rPr>
        <w:t xml:space="preserve">o use their money for a price. </w:t>
      </w:r>
      <w:r w:rsidRPr="000C636D">
        <w:rPr>
          <w:rFonts w:asciiTheme="minorHAnsi" w:hAnsiTheme="minorHAnsi"/>
        </w:rPr>
        <w:t>The extra money received provid</w:t>
      </w:r>
      <w:r w:rsidR="00BA1EB2">
        <w:rPr>
          <w:rFonts w:asciiTheme="minorHAnsi" w:hAnsiTheme="minorHAnsi"/>
        </w:rPr>
        <w:t xml:space="preserve">es the motivation for lending. </w:t>
      </w:r>
      <w:r w:rsidRPr="000C636D">
        <w:rPr>
          <w:rFonts w:asciiTheme="minorHAnsi" w:hAnsiTheme="minorHAnsi"/>
        </w:rPr>
        <w:t xml:space="preserve">With </w:t>
      </w:r>
      <w:r w:rsidRPr="000C636D">
        <w:rPr>
          <w:rFonts w:asciiTheme="minorHAnsi" w:hAnsiTheme="minorHAnsi" w:cs="Helvetica-Condensed-Oblique"/>
          <w:i/>
          <w:iCs/>
        </w:rPr>
        <w:t>any</w:t>
      </w:r>
      <w:r w:rsidRPr="000C636D">
        <w:rPr>
          <w:rFonts w:asciiTheme="minorHAnsi" w:hAnsiTheme="minorHAnsi"/>
        </w:rPr>
        <w:t xml:space="preserve"> investment, an investor might decid</w:t>
      </w:r>
      <w:r w:rsidR="00BA1EB2">
        <w:rPr>
          <w:rFonts w:asciiTheme="minorHAnsi" w:hAnsiTheme="minorHAnsi"/>
        </w:rPr>
        <w:t xml:space="preserve">e to hire a financial advisor. </w:t>
      </w:r>
      <w:r w:rsidRPr="000C636D">
        <w:rPr>
          <w:rFonts w:asciiTheme="minorHAnsi" w:hAnsiTheme="minorHAnsi"/>
        </w:rPr>
        <w:t>No inve</w:t>
      </w:r>
      <w:r w:rsidR="00BA1EB2">
        <w:rPr>
          <w:rFonts w:asciiTheme="minorHAnsi" w:hAnsiTheme="minorHAnsi"/>
        </w:rPr>
        <w:t xml:space="preserve">stment avoids risk altogether. </w:t>
      </w:r>
      <w:r w:rsidRPr="000C636D">
        <w:rPr>
          <w:rFonts w:asciiTheme="minorHAnsi" w:hAnsiTheme="minorHAnsi"/>
        </w:rPr>
        <w:t xml:space="preserve">Money market accounts (specific lending </w:t>
      </w:r>
      <w:r w:rsidR="007B1D9F">
        <w:rPr>
          <w:rFonts w:asciiTheme="minorHAnsi" w:hAnsiTheme="minorHAnsi"/>
        </w:rPr>
        <w:br/>
      </w:r>
      <w:r w:rsidRPr="000C636D">
        <w:rPr>
          <w:rFonts w:asciiTheme="minorHAnsi" w:hAnsiTheme="minorHAnsi"/>
        </w:rPr>
        <w:t xml:space="preserve">investments) sometimes require investors to maintain a minimum amount of money in </w:t>
      </w:r>
      <w:r w:rsidR="00010557">
        <w:rPr>
          <w:rFonts w:asciiTheme="minorHAnsi" w:hAnsiTheme="minorHAnsi"/>
        </w:rPr>
        <w:br/>
      </w:r>
      <w:r w:rsidRPr="000C636D">
        <w:rPr>
          <w:rFonts w:asciiTheme="minorHAnsi" w:hAnsiTheme="minorHAnsi"/>
        </w:rPr>
        <w:t>the investment.</w:t>
      </w:r>
      <w:r w:rsidRPr="000C636D">
        <w:rPr>
          <w:rFonts w:asciiTheme="minorHAnsi" w:hAnsiTheme="minorHAnsi"/>
        </w:rPr>
        <w:tab/>
        <w:t>(</w:t>
      </w:r>
      <w:r w:rsidR="002B1C70">
        <w:t>5</w:t>
      </w:r>
      <w:r w:rsidRPr="000C636D">
        <w:rPr>
          <w:rFonts w:asciiTheme="minorHAnsi" w:hAnsiTheme="minorHAnsi"/>
        </w:rPr>
        <w:t xml:space="preserve"> points)</w:t>
      </w:r>
    </w:p>
    <w:p w:rsidR="00173EE6" w:rsidRDefault="00173EE6">
      <w:pPr>
        <w:spacing w:after="0" w:line="240" w:lineRule="auto"/>
        <w:rPr>
          <w:rFonts w:asciiTheme="minorHAnsi" w:hAnsiTheme="minorHAnsi" w:cs="Calibri"/>
          <w:bCs/>
          <w:color w:val="000000"/>
          <w:sz w:val="24"/>
          <w:szCs w:val="24"/>
        </w:rPr>
      </w:pPr>
      <w:r>
        <w:rPr>
          <w:rFonts w:asciiTheme="minorHAnsi" w:hAnsiTheme="minorHAnsi"/>
        </w:rPr>
        <w:br w:type="page"/>
      </w:r>
    </w:p>
    <w:p w:rsidR="00173EE6" w:rsidRDefault="00745EEE" w:rsidP="00173EE6">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084" style="position:absolute;margin-left:0;margin-top:11.5pt;width:98.25pt;height:3.55pt;z-index:-251584512" o:hrpct="272" o:hrstd="t" o:hrnoshade="t" o:hr="t" fillcolor="black" stroked="f">
            <w10:wrap type="square"/>
          </v:rect>
        </w:pict>
      </w:r>
      <w:r>
        <w:rPr>
          <w:rFonts w:ascii="Cambria" w:hAnsi="Cambria" w:cs="Calibri"/>
          <w:noProof/>
          <w:sz w:val="28"/>
          <w:szCs w:val="28"/>
        </w:rPr>
        <w:pict>
          <v:rect id="_x0000_s1085" style="position:absolute;margin-left:0;margin-top:9.75pt;width:488.25pt;height:1.75pt;z-index:251732992" o:hrstd="t" o:hrnoshade="t" o:hr="t" fillcolor="black" stroked="f">
            <w10:wrap type="square"/>
          </v:rect>
        </w:pict>
      </w:r>
      <w:r w:rsidR="00173EE6" w:rsidRPr="00E43EDE">
        <w:rPr>
          <w:rFonts w:ascii="Cambria" w:hAnsi="Cambria" w:cs="Calibri"/>
          <w:b/>
          <w:sz w:val="28"/>
          <w:szCs w:val="28"/>
        </w:rPr>
        <w:t>POSTTEST</w:t>
      </w:r>
      <w:r w:rsidR="00173EE6">
        <w:rPr>
          <w:rFonts w:ascii="Cambria" w:hAnsi="Cambria" w:cs="Calibri"/>
          <w:b/>
          <w:sz w:val="28"/>
          <w:szCs w:val="28"/>
        </w:rPr>
        <w:t xml:space="preserve"> KEY</w:t>
      </w:r>
      <w:r w:rsidR="00173EE6" w:rsidRPr="006939B1">
        <w:rPr>
          <w:rFonts w:ascii="Cambria" w:hAnsi="Cambria" w:cs="Calibri"/>
          <w:sz w:val="20"/>
          <w:szCs w:val="20"/>
        </w:rPr>
        <w:t xml:space="preserve"> (cont’d)</w:t>
      </w:r>
    </w:p>
    <w:p w:rsidR="00173EE6" w:rsidRDefault="00173EE6" w:rsidP="00173EE6">
      <w:pPr>
        <w:pStyle w:val="postkey0"/>
        <w:spacing w:after="0" w:line="240" w:lineRule="auto"/>
        <w:rPr>
          <w:rFonts w:asciiTheme="minorHAnsi" w:hAnsiTheme="minorHAnsi"/>
        </w:rPr>
      </w:pPr>
    </w:p>
    <w:p w:rsidR="000A2DB1" w:rsidRPr="000C636D" w:rsidRDefault="00173EE6" w:rsidP="000C636D">
      <w:pPr>
        <w:pStyle w:val="postkey0"/>
        <w:rPr>
          <w:rFonts w:asciiTheme="minorHAnsi" w:hAnsiTheme="minorHAnsi"/>
        </w:rPr>
      </w:pPr>
      <w:r w:rsidRPr="00173EE6">
        <w:rPr>
          <w:rFonts w:asciiTheme="minorHAnsi" w:hAnsiTheme="minorHAnsi"/>
        </w:rPr>
        <w:tab/>
        <w:t>7.</w:t>
      </w:r>
      <w:r w:rsidR="000A2DB1" w:rsidRPr="000C636D">
        <w:rPr>
          <w:rFonts w:asciiTheme="minorHAnsi" w:hAnsiTheme="minorHAnsi"/>
          <w:b/>
        </w:rPr>
        <w:tab/>
      </w:r>
      <w:proofErr w:type="spellStart"/>
      <w:proofErr w:type="gramStart"/>
      <w:r w:rsidR="000A2DB1" w:rsidRPr="000C636D">
        <w:rPr>
          <w:rFonts w:asciiTheme="minorHAnsi" w:hAnsiTheme="minorHAnsi"/>
          <w:b/>
        </w:rPr>
        <w:t>a</w:t>
      </w:r>
      <w:proofErr w:type="spellEnd"/>
      <w:proofErr w:type="gramEnd"/>
      <w:r w:rsidR="000A2DB1" w:rsidRPr="000C636D">
        <w:rPr>
          <w:rFonts w:asciiTheme="minorHAnsi" w:hAnsiTheme="minorHAnsi"/>
          <w:b/>
        </w:rPr>
        <w:tab/>
        <w:t>The rate of return doesn’t keep up with inflation</w:t>
      </w:r>
      <w:r w:rsidR="000A2DB1" w:rsidRPr="000C636D">
        <w:rPr>
          <w:rFonts w:asciiTheme="minorHAnsi" w:hAnsiTheme="minorHAnsi"/>
        </w:rPr>
        <w:t xml:space="preserve">. Savings accounts earn low rates of </w:t>
      </w:r>
      <w:r w:rsidR="001805FE">
        <w:rPr>
          <w:rFonts w:asciiTheme="minorHAnsi" w:hAnsiTheme="minorHAnsi"/>
        </w:rPr>
        <w:br/>
      </w:r>
      <w:r w:rsidR="000A2DB1" w:rsidRPr="000C636D">
        <w:rPr>
          <w:rFonts w:asciiTheme="minorHAnsi" w:hAnsiTheme="minorHAnsi"/>
        </w:rPr>
        <w:t xml:space="preserve">return—usually not even enough to keep up with inflation. This causes the investor’s </w:t>
      </w:r>
      <w:r w:rsidR="001805FE">
        <w:rPr>
          <w:rFonts w:asciiTheme="minorHAnsi" w:hAnsiTheme="minorHAnsi"/>
        </w:rPr>
        <w:br/>
      </w:r>
      <w:r w:rsidR="000A2DB1" w:rsidRPr="000C636D">
        <w:rPr>
          <w:rFonts w:asciiTheme="minorHAnsi" w:hAnsiTheme="minorHAnsi"/>
        </w:rPr>
        <w:t xml:space="preserve">money to lose buying power. Savings accounts do not require a minimum balance or incur penalties for withdrawing money early. Savings accounts are very low-risk investments, </w:t>
      </w:r>
      <w:r w:rsidR="00A10D8A">
        <w:rPr>
          <w:rFonts w:asciiTheme="minorHAnsi" w:hAnsiTheme="minorHAnsi"/>
        </w:rPr>
        <w:br/>
      </w:r>
      <w:r w:rsidR="000A2DB1" w:rsidRPr="000C636D">
        <w:rPr>
          <w:rFonts w:asciiTheme="minorHAnsi" w:hAnsiTheme="minorHAnsi"/>
        </w:rPr>
        <w:t xml:space="preserve">especially since they are insured by the FDIC. </w:t>
      </w:r>
      <w:r>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p>
    <w:p w:rsidR="000A2DB1" w:rsidRPr="000C636D" w:rsidRDefault="00173EE6" w:rsidP="000C636D">
      <w:pPr>
        <w:pStyle w:val="postkey0"/>
        <w:rPr>
          <w:rFonts w:asciiTheme="minorHAnsi" w:hAnsiTheme="minorHAnsi"/>
        </w:rPr>
      </w:pPr>
      <w:r w:rsidRPr="00173EE6">
        <w:rPr>
          <w:rFonts w:asciiTheme="minorHAnsi" w:hAnsiTheme="minorHAnsi"/>
        </w:rPr>
        <w:tab/>
        <w:t>8.</w:t>
      </w:r>
      <w:r w:rsidR="000A2DB1" w:rsidRPr="000C636D">
        <w:rPr>
          <w:rFonts w:asciiTheme="minorHAnsi" w:hAnsiTheme="minorHAnsi"/>
          <w:b/>
        </w:rPr>
        <w:tab/>
      </w:r>
      <w:proofErr w:type="gramStart"/>
      <w:r w:rsidR="000A2DB1" w:rsidRPr="000C636D">
        <w:rPr>
          <w:rFonts w:asciiTheme="minorHAnsi" w:hAnsiTheme="minorHAnsi"/>
          <w:b/>
        </w:rPr>
        <w:t>b</w:t>
      </w:r>
      <w:proofErr w:type="gramEnd"/>
      <w:r w:rsidR="000A2DB1" w:rsidRPr="000C636D">
        <w:rPr>
          <w:rFonts w:asciiTheme="minorHAnsi" w:hAnsiTheme="minorHAnsi"/>
          <w:b/>
        </w:rPr>
        <w:tab/>
        <w:t>You can often write checks from a money market account</w:t>
      </w:r>
      <w:r w:rsidR="000A2DB1" w:rsidRPr="000C636D">
        <w:rPr>
          <w:rFonts w:asciiTheme="minorHAnsi" w:hAnsiTheme="minorHAnsi"/>
        </w:rPr>
        <w:t>. Money market accounts and savings accounts are very similar. One advantage of a money market account over a sa</w:t>
      </w:r>
      <w:r w:rsidR="000A2DB1" w:rsidRPr="000C636D">
        <w:rPr>
          <w:rFonts w:asciiTheme="minorHAnsi" w:hAnsiTheme="minorHAnsi"/>
        </w:rPr>
        <w:t>v</w:t>
      </w:r>
      <w:r w:rsidR="000A2DB1" w:rsidRPr="000C636D">
        <w:rPr>
          <w:rFonts w:asciiTheme="minorHAnsi" w:hAnsiTheme="minorHAnsi"/>
        </w:rPr>
        <w:t>ings account, however, is that you can often write checks from your money market a</w:t>
      </w:r>
      <w:r w:rsidR="000A2DB1" w:rsidRPr="000C636D">
        <w:rPr>
          <w:rFonts w:asciiTheme="minorHAnsi" w:hAnsiTheme="minorHAnsi"/>
        </w:rPr>
        <w:t>c</w:t>
      </w:r>
      <w:r w:rsidR="000A2DB1" w:rsidRPr="000C636D">
        <w:rPr>
          <w:rFonts w:asciiTheme="minorHAnsi" w:hAnsiTheme="minorHAnsi"/>
        </w:rPr>
        <w:t xml:space="preserve">count (something savings accounts don’t allow). Stocks, not money market accounts, </w:t>
      </w:r>
      <w:r w:rsidR="00A10D8A">
        <w:rPr>
          <w:rFonts w:asciiTheme="minorHAnsi" w:hAnsiTheme="minorHAnsi"/>
        </w:rPr>
        <w:br/>
      </w:r>
      <w:r w:rsidR="000A2DB1" w:rsidRPr="000C636D">
        <w:rPr>
          <w:rFonts w:asciiTheme="minorHAnsi" w:hAnsiTheme="minorHAnsi"/>
        </w:rPr>
        <w:t xml:space="preserve">provide corporate ownership rights. The rate of return for money market accounts is </w:t>
      </w:r>
      <w:r w:rsidR="006F5D2D">
        <w:rPr>
          <w:rFonts w:asciiTheme="minorHAnsi" w:hAnsiTheme="minorHAnsi"/>
        </w:rPr>
        <w:br/>
      </w:r>
      <w:r w:rsidR="000A2DB1" w:rsidRPr="000C636D">
        <w:rPr>
          <w:rFonts w:asciiTheme="minorHAnsi" w:hAnsiTheme="minorHAnsi"/>
        </w:rPr>
        <w:t xml:space="preserve">currently just about the same as the rates for savings accounts. Both types of accounts </w:t>
      </w:r>
      <w:r w:rsidR="006F5D2D">
        <w:rPr>
          <w:rFonts w:asciiTheme="minorHAnsi" w:hAnsiTheme="minorHAnsi"/>
        </w:rPr>
        <w:br/>
      </w:r>
      <w:r w:rsidR="000A2DB1" w:rsidRPr="000C636D">
        <w:rPr>
          <w:rFonts w:asciiTheme="minorHAnsi" w:hAnsiTheme="minorHAnsi"/>
        </w:rPr>
        <w:t xml:space="preserve">are insured by the FDIC. </w:t>
      </w:r>
      <w:r w:rsidR="007B1D9F">
        <w:rPr>
          <w:rFonts w:asciiTheme="minorHAnsi" w:hAnsiTheme="minorHAnsi"/>
        </w:rPr>
        <w:tab/>
      </w:r>
      <w:r w:rsidR="007B1D9F" w:rsidRPr="000C636D">
        <w:rPr>
          <w:rFonts w:asciiTheme="minorHAnsi" w:hAnsiTheme="minorHAnsi"/>
        </w:rPr>
        <w:t>(</w:t>
      </w:r>
      <w:r w:rsidR="002B1C70">
        <w:t>5</w:t>
      </w:r>
      <w:r w:rsidR="007B1D9F" w:rsidRPr="000C636D">
        <w:rPr>
          <w:rFonts w:asciiTheme="minorHAnsi" w:hAnsiTheme="minorHAnsi"/>
        </w:rPr>
        <w:t xml:space="preserve"> points)</w:t>
      </w:r>
    </w:p>
    <w:p w:rsidR="000A2DB1" w:rsidRPr="000C636D" w:rsidRDefault="004074E1" w:rsidP="000C636D">
      <w:pPr>
        <w:pStyle w:val="postkey0"/>
        <w:rPr>
          <w:rFonts w:asciiTheme="minorHAnsi" w:hAnsiTheme="minorHAnsi"/>
        </w:rPr>
      </w:pPr>
      <w:r w:rsidRPr="004074E1">
        <w:rPr>
          <w:rFonts w:asciiTheme="minorHAnsi" w:hAnsiTheme="minorHAnsi"/>
        </w:rPr>
        <w:tab/>
        <w:t>9.</w:t>
      </w:r>
      <w:r w:rsidR="000A2DB1" w:rsidRPr="000C636D">
        <w:rPr>
          <w:rFonts w:asciiTheme="minorHAnsi" w:hAnsiTheme="minorHAnsi"/>
          <w:b/>
        </w:rPr>
        <w:tab/>
      </w:r>
      <w:proofErr w:type="spellStart"/>
      <w:proofErr w:type="gramStart"/>
      <w:r w:rsidR="000A2DB1" w:rsidRPr="000C636D">
        <w:rPr>
          <w:rFonts w:asciiTheme="minorHAnsi" w:hAnsiTheme="minorHAnsi"/>
          <w:b/>
        </w:rPr>
        <w:t>d</w:t>
      </w:r>
      <w:proofErr w:type="spellEnd"/>
      <w:proofErr w:type="gramEnd"/>
      <w:r w:rsidR="000A2DB1" w:rsidRPr="000C636D">
        <w:rPr>
          <w:rFonts w:asciiTheme="minorHAnsi" w:hAnsiTheme="minorHAnsi"/>
          <w:b/>
        </w:rPr>
        <w:tab/>
        <w:t>You must pay a penalty for withdrawing your money early</w:t>
      </w:r>
      <w:r w:rsidR="000A2DB1" w:rsidRPr="000C636D">
        <w:rPr>
          <w:rFonts w:asciiTheme="minorHAnsi" w:hAnsiTheme="minorHAnsi"/>
        </w:rPr>
        <w:t xml:space="preserve">. Certificates of deposit are bank-issued securities that guarantee a set rate of return for a specific period of time. If you withdraw your money before that time period has ended, you will pay a penalty for doing so. CDs are considered low-risk investments. Their return is guaranteed, so </w:t>
      </w:r>
      <w:r w:rsidR="00BE0731">
        <w:rPr>
          <w:rFonts w:asciiTheme="minorHAnsi" w:hAnsiTheme="minorHAnsi"/>
        </w:rPr>
        <w:br/>
      </w:r>
      <w:r w:rsidR="000A2DB1" w:rsidRPr="000C636D">
        <w:rPr>
          <w:rFonts w:asciiTheme="minorHAnsi" w:hAnsiTheme="minorHAnsi"/>
        </w:rPr>
        <w:t xml:space="preserve">depreciation is not a concern for investors. </w:t>
      </w:r>
      <w:r>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p>
    <w:p w:rsidR="000A2DB1" w:rsidRPr="000C636D" w:rsidRDefault="00D473B4" w:rsidP="000C636D">
      <w:pPr>
        <w:pStyle w:val="postkey0"/>
        <w:rPr>
          <w:rFonts w:asciiTheme="minorHAnsi" w:hAnsiTheme="minorHAnsi"/>
        </w:rPr>
      </w:pPr>
      <w:r w:rsidRPr="00D473B4">
        <w:rPr>
          <w:rFonts w:asciiTheme="minorHAnsi" w:hAnsiTheme="minorHAnsi"/>
        </w:rPr>
        <w:tab/>
        <w:t>10.</w:t>
      </w:r>
      <w:r w:rsidR="000A2DB1" w:rsidRPr="000C636D">
        <w:rPr>
          <w:rFonts w:asciiTheme="minorHAnsi" w:hAnsiTheme="minorHAnsi"/>
          <w:b/>
        </w:rPr>
        <w:tab/>
      </w:r>
      <w:proofErr w:type="spellStart"/>
      <w:r w:rsidR="000A2DB1" w:rsidRPr="000C636D">
        <w:rPr>
          <w:rFonts w:asciiTheme="minorHAnsi" w:hAnsiTheme="minorHAnsi"/>
          <w:b/>
        </w:rPr>
        <w:t>a</w:t>
      </w:r>
      <w:proofErr w:type="spellEnd"/>
      <w:r w:rsidR="000A2DB1" w:rsidRPr="000C636D">
        <w:rPr>
          <w:rFonts w:asciiTheme="minorHAnsi" w:hAnsiTheme="minorHAnsi"/>
          <w:b/>
        </w:rPr>
        <w:tab/>
        <w:t>They are very low risk</w:t>
      </w:r>
      <w:r w:rsidR="000A2DB1" w:rsidRPr="000C636D">
        <w:rPr>
          <w:rFonts w:asciiTheme="minorHAnsi" w:hAnsiTheme="minorHAnsi"/>
        </w:rPr>
        <w:t xml:space="preserve">. Bonds are very low risk investments. As a matter of fact, they are often referred to as “guaranteed money.” However, you can’t access your money at any time, and bonds are not FDIC-insured. Bonds are lending investments with little risk; </w:t>
      </w:r>
      <w:r w:rsidR="00B2667B">
        <w:rPr>
          <w:rFonts w:asciiTheme="minorHAnsi" w:hAnsiTheme="minorHAnsi"/>
        </w:rPr>
        <w:br/>
      </w:r>
      <w:r w:rsidR="000A2DB1" w:rsidRPr="000C636D">
        <w:rPr>
          <w:rFonts w:asciiTheme="minorHAnsi" w:hAnsiTheme="minorHAnsi"/>
        </w:rPr>
        <w:t xml:space="preserve">therefore, they don’t offer extremely high rates of return. </w:t>
      </w:r>
      <w:r>
        <w:rPr>
          <w:rFonts w:asciiTheme="minorHAnsi" w:hAnsiTheme="minorHAnsi"/>
        </w:rPr>
        <w:tab/>
      </w:r>
      <w:r w:rsidRPr="000C636D">
        <w:rPr>
          <w:rFonts w:asciiTheme="minorHAnsi" w:hAnsiTheme="minorHAnsi"/>
        </w:rPr>
        <w:t>(</w:t>
      </w:r>
      <w:r w:rsidR="002B1C70">
        <w:t>5</w:t>
      </w:r>
      <w:r w:rsidRPr="000C636D">
        <w:rPr>
          <w:rFonts w:asciiTheme="minorHAnsi" w:hAnsiTheme="minorHAnsi"/>
        </w:rPr>
        <w:t xml:space="preserve"> points)</w:t>
      </w:r>
    </w:p>
    <w:p w:rsidR="000A2DB1" w:rsidRPr="00D473B4" w:rsidRDefault="000A2DB1" w:rsidP="00D473B4">
      <w:pPr>
        <w:pStyle w:val="postkey0"/>
        <w:spacing w:before="360" w:after="240" w:line="240" w:lineRule="auto"/>
        <w:rPr>
          <w:rFonts w:asciiTheme="minorHAnsi" w:hAnsiTheme="minorHAnsi"/>
          <w:b/>
          <w:caps/>
        </w:rPr>
      </w:pPr>
      <w:r w:rsidRPr="00D473B4">
        <w:rPr>
          <w:rFonts w:asciiTheme="minorHAnsi" w:hAnsiTheme="minorHAnsi"/>
          <w:b/>
          <w:caps/>
        </w:rPr>
        <w:t>Objective B</w:t>
      </w:r>
    </w:p>
    <w:p w:rsidR="000A2DB1" w:rsidRPr="000C636D" w:rsidRDefault="00D473B4" w:rsidP="000C636D">
      <w:pPr>
        <w:pStyle w:val="postkey0"/>
        <w:rPr>
          <w:rFonts w:asciiTheme="minorHAnsi" w:hAnsiTheme="minorHAnsi"/>
        </w:rPr>
      </w:pPr>
      <w:r w:rsidRPr="00D473B4">
        <w:rPr>
          <w:rFonts w:asciiTheme="minorHAnsi" w:hAnsiTheme="minorHAnsi"/>
        </w:rPr>
        <w:tab/>
      </w:r>
      <w:r w:rsidR="000A2DB1" w:rsidRPr="00D473B4">
        <w:rPr>
          <w:rFonts w:asciiTheme="minorHAnsi" w:hAnsiTheme="minorHAnsi"/>
        </w:rPr>
        <w:t>11.</w:t>
      </w:r>
      <w:r w:rsidR="000A2DB1" w:rsidRPr="000C636D">
        <w:rPr>
          <w:rFonts w:asciiTheme="minorHAnsi" w:hAnsiTheme="minorHAnsi"/>
          <w:b/>
        </w:rPr>
        <w:tab/>
      </w:r>
      <w:proofErr w:type="gramStart"/>
      <w:r w:rsidR="000A2DB1" w:rsidRPr="000C636D">
        <w:rPr>
          <w:rFonts w:asciiTheme="minorHAnsi" w:hAnsiTheme="minorHAnsi"/>
          <w:b/>
        </w:rPr>
        <w:t>b</w:t>
      </w:r>
      <w:proofErr w:type="gramEnd"/>
      <w:r w:rsidR="000A2DB1" w:rsidRPr="000C636D">
        <w:rPr>
          <w:rFonts w:asciiTheme="minorHAnsi" w:hAnsiTheme="minorHAnsi"/>
          <w:b/>
        </w:rPr>
        <w:tab/>
        <w:t>Risk-tolerant</w:t>
      </w:r>
      <w:r w:rsidR="000A2DB1" w:rsidRPr="000C636D">
        <w:rPr>
          <w:rFonts w:asciiTheme="minorHAnsi" w:hAnsiTheme="minorHAnsi"/>
        </w:rPr>
        <w:t xml:space="preserve">. Ownership investments generally carry more risk than lending investments. Therefore, they are ideal for risk-tolerant investors, rather than risk-averse investors. Ownership investments may or may not work for those just beginning to invest or those close to retirement—it just depends on the situation. </w:t>
      </w:r>
      <w:r>
        <w:rPr>
          <w:rFonts w:asciiTheme="minorHAnsi" w:hAnsiTheme="minorHAnsi"/>
        </w:rPr>
        <w:tab/>
      </w:r>
      <w:r w:rsidRPr="000C636D">
        <w:rPr>
          <w:rFonts w:asciiTheme="minorHAnsi" w:hAnsiTheme="minorHAnsi"/>
        </w:rPr>
        <w:t>(</w:t>
      </w:r>
      <w:r w:rsidR="005119A4">
        <w:t>5</w:t>
      </w:r>
      <w:r w:rsidRPr="000C636D">
        <w:rPr>
          <w:rFonts w:asciiTheme="minorHAnsi" w:hAnsiTheme="minorHAnsi"/>
        </w:rPr>
        <w:t xml:space="preserve"> points)</w:t>
      </w:r>
    </w:p>
    <w:p w:rsidR="00430303" w:rsidRPr="000C636D" w:rsidRDefault="0077309F" w:rsidP="000C636D">
      <w:pPr>
        <w:pStyle w:val="postkey0"/>
        <w:rPr>
          <w:rFonts w:asciiTheme="minorHAnsi" w:hAnsiTheme="minorHAnsi"/>
        </w:rPr>
      </w:pPr>
      <w:r>
        <w:rPr>
          <w:rFonts w:asciiTheme="minorHAnsi" w:hAnsiTheme="minorHAnsi"/>
        </w:rPr>
        <w:tab/>
      </w:r>
      <w:r w:rsidR="00D473B4">
        <w:rPr>
          <w:rFonts w:asciiTheme="minorHAnsi" w:hAnsiTheme="minorHAnsi"/>
        </w:rPr>
        <w:t>12</w:t>
      </w:r>
      <w:r w:rsidR="00430303" w:rsidRPr="000C636D">
        <w:rPr>
          <w:rFonts w:asciiTheme="minorHAnsi" w:hAnsiTheme="minorHAnsi"/>
        </w:rPr>
        <w:t>.</w:t>
      </w:r>
      <w:r w:rsidR="00430303" w:rsidRPr="000C636D">
        <w:rPr>
          <w:rFonts w:asciiTheme="minorHAnsi" w:hAnsiTheme="minorHAnsi"/>
        </w:rPr>
        <w:tab/>
      </w:r>
      <w:proofErr w:type="gramStart"/>
      <w:r w:rsidR="00430303" w:rsidRPr="000C636D">
        <w:rPr>
          <w:rFonts w:asciiTheme="minorHAnsi" w:hAnsiTheme="minorHAnsi" w:cs="Helvetica-Condensed-Bold"/>
          <w:b/>
        </w:rPr>
        <w:t>d</w:t>
      </w:r>
      <w:proofErr w:type="gramEnd"/>
      <w:r w:rsidR="00430303" w:rsidRPr="000C636D">
        <w:rPr>
          <w:rFonts w:asciiTheme="minorHAnsi" w:hAnsiTheme="minorHAnsi" w:cs="Helvetica-Condensed-Bold"/>
          <w:b/>
        </w:rPr>
        <w:tab/>
        <w:t>Pay for the right to own something.</w:t>
      </w:r>
      <w:r w:rsidR="00430303" w:rsidRPr="000C636D">
        <w:rPr>
          <w:rFonts w:asciiTheme="minorHAnsi" w:hAnsiTheme="minorHAnsi"/>
        </w:rPr>
        <w:t xml:space="preserve"> With an ownership investment, investors pay f</w:t>
      </w:r>
      <w:r w:rsidR="00323551">
        <w:rPr>
          <w:rFonts w:asciiTheme="minorHAnsi" w:hAnsiTheme="minorHAnsi"/>
        </w:rPr>
        <w:t xml:space="preserve">or the right to own something. </w:t>
      </w:r>
      <w:r w:rsidR="00430303" w:rsidRPr="000C636D">
        <w:rPr>
          <w:rFonts w:asciiTheme="minorHAnsi" w:hAnsiTheme="minorHAnsi"/>
        </w:rPr>
        <w:t>When they do this, they may buy a home to live in, collect popular items, or even invest in multiple corporations through stock mutual funds.</w:t>
      </w:r>
      <w:r w:rsidR="00430303" w:rsidRPr="000C636D">
        <w:rPr>
          <w:rFonts w:asciiTheme="minorHAnsi" w:hAnsiTheme="minorHAnsi"/>
        </w:rPr>
        <w:tab/>
        <w:t>(</w:t>
      </w:r>
      <w:r w:rsidR="005119A4">
        <w:t>5</w:t>
      </w:r>
      <w:r w:rsidR="00430303" w:rsidRPr="000C636D">
        <w:rPr>
          <w:rFonts w:asciiTheme="minorHAnsi" w:hAnsiTheme="minorHAnsi"/>
        </w:rPr>
        <w:t xml:space="preserve"> points)</w:t>
      </w:r>
    </w:p>
    <w:p w:rsidR="00871D69" w:rsidRDefault="00871D69">
      <w:pPr>
        <w:spacing w:after="0" w:line="240" w:lineRule="auto"/>
        <w:rPr>
          <w:rFonts w:asciiTheme="minorHAnsi" w:hAnsiTheme="minorHAnsi" w:cs="Calibri"/>
          <w:b/>
          <w:bCs/>
          <w:color w:val="000000"/>
          <w:sz w:val="24"/>
          <w:szCs w:val="24"/>
        </w:rPr>
      </w:pPr>
      <w:r>
        <w:rPr>
          <w:rFonts w:asciiTheme="minorHAnsi" w:hAnsiTheme="minorHAnsi"/>
          <w:b/>
        </w:rPr>
        <w:br w:type="page"/>
      </w:r>
    </w:p>
    <w:p w:rsidR="00871D69" w:rsidRDefault="00745EEE" w:rsidP="00871D69">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086" style="position:absolute;margin-left:0;margin-top:11.5pt;width:98.25pt;height:3.55pt;z-index:-251581440" o:hrpct="272" o:hrstd="t" o:hrnoshade="t" o:hr="t" fillcolor="black" stroked="f">
            <w10:wrap type="square"/>
          </v:rect>
        </w:pict>
      </w:r>
      <w:r>
        <w:rPr>
          <w:rFonts w:ascii="Cambria" w:hAnsi="Cambria" w:cs="Calibri"/>
          <w:noProof/>
          <w:sz w:val="28"/>
          <w:szCs w:val="28"/>
        </w:rPr>
        <w:pict>
          <v:rect id="_x0000_s1087" style="position:absolute;margin-left:0;margin-top:9.75pt;width:488.25pt;height:1.75pt;z-index:251736064" o:hrstd="t" o:hrnoshade="t" o:hr="t" fillcolor="black" stroked="f">
            <w10:wrap type="square"/>
          </v:rect>
        </w:pict>
      </w:r>
      <w:r w:rsidR="00871D69" w:rsidRPr="00E43EDE">
        <w:rPr>
          <w:rFonts w:ascii="Cambria" w:hAnsi="Cambria" w:cs="Calibri"/>
          <w:b/>
          <w:sz w:val="28"/>
          <w:szCs w:val="28"/>
        </w:rPr>
        <w:t>POSTTEST</w:t>
      </w:r>
      <w:r w:rsidR="00871D69">
        <w:rPr>
          <w:rFonts w:ascii="Cambria" w:hAnsi="Cambria" w:cs="Calibri"/>
          <w:b/>
          <w:sz w:val="28"/>
          <w:szCs w:val="28"/>
        </w:rPr>
        <w:t xml:space="preserve"> KEY</w:t>
      </w:r>
      <w:r w:rsidR="00871D69" w:rsidRPr="006939B1">
        <w:rPr>
          <w:rFonts w:ascii="Cambria" w:hAnsi="Cambria" w:cs="Calibri"/>
          <w:sz w:val="20"/>
          <w:szCs w:val="20"/>
        </w:rPr>
        <w:t xml:space="preserve"> (cont’d)</w:t>
      </w:r>
    </w:p>
    <w:p w:rsidR="00871D69" w:rsidRDefault="00871D69" w:rsidP="00871D69">
      <w:pPr>
        <w:pStyle w:val="postkey0"/>
        <w:spacing w:after="0" w:line="240" w:lineRule="auto"/>
        <w:rPr>
          <w:rFonts w:asciiTheme="minorHAnsi" w:hAnsiTheme="minorHAnsi"/>
          <w:b/>
        </w:rPr>
      </w:pPr>
    </w:p>
    <w:p w:rsidR="000A2DB1" w:rsidRPr="000C636D" w:rsidRDefault="00D473B4" w:rsidP="000C636D">
      <w:pPr>
        <w:pStyle w:val="postkey0"/>
        <w:rPr>
          <w:rFonts w:asciiTheme="minorHAnsi" w:hAnsiTheme="minorHAnsi"/>
        </w:rPr>
      </w:pPr>
      <w:r>
        <w:rPr>
          <w:rFonts w:asciiTheme="minorHAnsi" w:hAnsiTheme="minorHAnsi"/>
          <w:b/>
        </w:rPr>
        <w:tab/>
      </w:r>
      <w:r w:rsidR="000A2DB1" w:rsidRPr="00D473B4">
        <w:rPr>
          <w:rFonts w:asciiTheme="minorHAnsi" w:hAnsiTheme="minorHAnsi"/>
        </w:rPr>
        <w:t>13.</w:t>
      </w:r>
      <w:r w:rsidR="000A2DB1" w:rsidRPr="000C636D">
        <w:rPr>
          <w:rFonts w:asciiTheme="minorHAnsi" w:hAnsiTheme="minorHAnsi"/>
          <w:b/>
        </w:rPr>
        <w:tab/>
      </w:r>
      <w:proofErr w:type="gramStart"/>
      <w:r w:rsidR="000A2DB1" w:rsidRPr="000C636D">
        <w:rPr>
          <w:rFonts w:asciiTheme="minorHAnsi" w:hAnsiTheme="minorHAnsi"/>
          <w:b/>
        </w:rPr>
        <w:t>d</w:t>
      </w:r>
      <w:proofErr w:type="gramEnd"/>
      <w:r w:rsidR="000A2DB1" w:rsidRPr="000C636D">
        <w:rPr>
          <w:rFonts w:asciiTheme="minorHAnsi" w:hAnsiTheme="minorHAnsi"/>
          <w:b/>
        </w:rPr>
        <w:tab/>
        <w:t>High degree of risk</w:t>
      </w:r>
      <w:r w:rsidR="000A2DB1" w:rsidRPr="000C636D">
        <w:rPr>
          <w:rFonts w:asciiTheme="minorHAnsi" w:hAnsiTheme="minorHAnsi"/>
        </w:rPr>
        <w:t xml:space="preserve">. The main disadvantage of owning stock is the high degree of risk </w:t>
      </w:r>
      <w:r w:rsidR="00D83DBA">
        <w:rPr>
          <w:rFonts w:asciiTheme="minorHAnsi" w:hAnsiTheme="minorHAnsi"/>
        </w:rPr>
        <w:br/>
      </w:r>
      <w:r w:rsidR="000A2DB1" w:rsidRPr="000C636D">
        <w:rPr>
          <w:rFonts w:asciiTheme="minorHAnsi" w:hAnsiTheme="minorHAnsi"/>
        </w:rPr>
        <w:t xml:space="preserve">involved. The investor may not make a return on the investment—and may even lose the </w:t>
      </w:r>
      <w:r w:rsidR="00A10D8A">
        <w:rPr>
          <w:rFonts w:asciiTheme="minorHAnsi" w:hAnsiTheme="minorHAnsi"/>
        </w:rPr>
        <w:br/>
      </w:r>
      <w:r w:rsidR="000A2DB1" w:rsidRPr="000C636D">
        <w:rPr>
          <w:rFonts w:asciiTheme="minorHAnsi" w:hAnsiTheme="minorHAnsi"/>
        </w:rPr>
        <w:t>initial sum s/he put in. However, investing in stock does create a high potential for return. Stock investors won’t lose their personal time and effort in the way that entrepreneurs might. There is no penalty for selling stocks early because there is no time</w:t>
      </w:r>
      <w:r w:rsidR="00FF7193">
        <w:rPr>
          <w:rFonts w:asciiTheme="minorHAnsi" w:hAnsiTheme="minorHAnsi"/>
        </w:rPr>
        <w:t xml:space="preserve"> </w:t>
      </w:r>
      <w:r w:rsidR="000A2DB1" w:rsidRPr="000C636D">
        <w:rPr>
          <w:rFonts w:asciiTheme="minorHAnsi" w:hAnsiTheme="minorHAnsi"/>
        </w:rPr>
        <w:t xml:space="preserve">frame for which investors are required to keep them. </w:t>
      </w:r>
      <w:r w:rsidR="00D81B50">
        <w:rPr>
          <w:rFonts w:asciiTheme="minorHAnsi" w:hAnsiTheme="minorHAnsi"/>
        </w:rPr>
        <w:tab/>
      </w:r>
      <w:r w:rsidR="00D81B50" w:rsidRPr="000C636D">
        <w:rPr>
          <w:rFonts w:asciiTheme="minorHAnsi" w:hAnsiTheme="minorHAnsi"/>
        </w:rPr>
        <w:t>(</w:t>
      </w:r>
      <w:r w:rsidR="005119A4">
        <w:t>5</w:t>
      </w:r>
      <w:r w:rsidR="00D81B50" w:rsidRPr="000C636D">
        <w:rPr>
          <w:rFonts w:asciiTheme="minorHAnsi" w:hAnsiTheme="minorHAnsi"/>
        </w:rPr>
        <w:t xml:space="preserve"> points)</w:t>
      </w:r>
    </w:p>
    <w:p w:rsidR="00B0532D" w:rsidRPr="000C636D" w:rsidRDefault="001B7A09" w:rsidP="000C636D">
      <w:pPr>
        <w:pStyle w:val="postkey0"/>
        <w:rPr>
          <w:rFonts w:asciiTheme="minorHAnsi" w:hAnsiTheme="minorHAnsi"/>
        </w:rPr>
      </w:pPr>
      <w:r>
        <w:rPr>
          <w:rFonts w:asciiTheme="minorHAnsi" w:hAnsiTheme="minorHAnsi"/>
        </w:rPr>
        <w:tab/>
        <w:t>14</w:t>
      </w:r>
      <w:r w:rsidR="00B0532D" w:rsidRPr="000C636D">
        <w:rPr>
          <w:rFonts w:asciiTheme="minorHAnsi" w:hAnsiTheme="minorHAnsi"/>
        </w:rPr>
        <w:t>.</w:t>
      </w:r>
      <w:r w:rsidR="00B0532D" w:rsidRPr="000C636D">
        <w:rPr>
          <w:rFonts w:asciiTheme="minorHAnsi" w:hAnsiTheme="minorHAnsi"/>
        </w:rPr>
        <w:tab/>
      </w:r>
      <w:proofErr w:type="gramStart"/>
      <w:r w:rsidR="00B0532D" w:rsidRPr="000C636D">
        <w:rPr>
          <w:rFonts w:asciiTheme="minorHAnsi" w:hAnsiTheme="minorHAnsi" w:cs="Helvetica-Condensed-Bold"/>
          <w:b/>
        </w:rPr>
        <w:t>a</w:t>
      </w:r>
      <w:proofErr w:type="gramEnd"/>
      <w:r w:rsidR="00B0532D" w:rsidRPr="000C636D">
        <w:rPr>
          <w:rFonts w:asciiTheme="minorHAnsi" w:hAnsiTheme="minorHAnsi" w:cs="Helvetica-Condensed-Bold"/>
          <w:b/>
        </w:rPr>
        <w:tab/>
        <w:t>Stock mutual funds.</w:t>
      </w:r>
      <w:r>
        <w:rPr>
          <w:rFonts w:asciiTheme="minorHAnsi" w:hAnsiTheme="minorHAnsi"/>
        </w:rPr>
        <w:t xml:space="preserve"> </w:t>
      </w:r>
      <w:r w:rsidR="00B0532D" w:rsidRPr="000C636D">
        <w:rPr>
          <w:rFonts w:asciiTheme="minorHAnsi" w:hAnsiTheme="minorHAnsi"/>
        </w:rPr>
        <w:t xml:space="preserve">Stock mutual funds are ownership investments that allow access to an “expert” </w:t>
      </w:r>
      <w:r>
        <w:rPr>
          <w:rFonts w:asciiTheme="minorHAnsi" w:hAnsiTheme="minorHAnsi"/>
        </w:rPr>
        <w:t xml:space="preserve">manager—called a fund manager. </w:t>
      </w:r>
      <w:r w:rsidR="00B0532D" w:rsidRPr="000C636D">
        <w:rPr>
          <w:rFonts w:asciiTheme="minorHAnsi" w:hAnsiTheme="minorHAnsi"/>
        </w:rPr>
        <w:t xml:space="preserve">Collecting popular items may or may not </w:t>
      </w:r>
      <w:r w:rsidR="00687689">
        <w:rPr>
          <w:rFonts w:asciiTheme="minorHAnsi" w:hAnsiTheme="minorHAnsi"/>
        </w:rPr>
        <w:br/>
      </w:r>
      <w:r w:rsidR="00B0532D" w:rsidRPr="000C636D">
        <w:rPr>
          <w:rFonts w:asciiTheme="minorHAnsi" w:hAnsiTheme="minorHAnsi"/>
        </w:rPr>
        <w:t>involve a manager. You can collec</w:t>
      </w:r>
      <w:r>
        <w:rPr>
          <w:rFonts w:asciiTheme="minorHAnsi" w:hAnsiTheme="minorHAnsi"/>
        </w:rPr>
        <w:t xml:space="preserve">t on your own, if you want to. </w:t>
      </w:r>
      <w:r w:rsidR="00B0532D" w:rsidRPr="000C636D">
        <w:rPr>
          <w:rFonts w:asciiTheme="minorHAnsi" w:hAnsiTheme="minorHAnsi"/>
        </w:rPr>
        <w:t>The same with purchasing real estate: You are not given access</w:t>
      </w:r>
      <w:r>
        <w:rPr>
          <w:rFonts w:asciiTheme="minorHAnsi" w:hAnsiTheme="minorHAnsi"/>
        </w:rPr>
        <w:t xml:space="preserve"> to any expert, in particular. </w:t>
      </w:r>
      <w:r w:rsidR="00B0532D" w:rsidRPr="000C636D">
        <w:rPr>
          <w:rFonts w:asciiTheme="minorHAnsi" w:hAnsiTheme="minorHAnsi"/>
        </w:rPr>
        <w:t xml:space="preserve">And, stock purchases do not provide an “expert” to help </w:t>
      </w:r>
      <w:r>
        <w:rPr>
          <w:rFonts w:asciiTheme="minorHAnsi" w:hAnsiTheme="minorHAnsi"/>
        </w:rPr>
        <w:t>you.</w:t>
      </w:r>
      <w:r>
        <w:rPr>
          <w:rFonts w:asciiTheme="minorHAnsi" w:hAnsiTheme="minorHAnsi"/>
        </w:rPr>
        <w:tab/>
      </w:r>
      <w:r w:rsidR="00B0532D" w:rsidRPr="000C636D">
        <w:rPr>
          <w:rFonts w:asciiTheme="minorHAnsi" w:hAnsiTheme="minorHAnsi"/>
        </w:rPr>
        <w:t>(</w:t>
      </w:r>
      <w:r w:rsidR="005119A4">
        <w:t>5</w:t>
      </w:r>
      <w:r w:rsidR="00B0532D" w:rsidRPr="000C636D">
        <w:rPr>
          <w:rFonts w:asciiTheme="minorHAnsi" w:hAnsiTheme="minorHAnsi"/>
        </w:rPr>
        <w:t xml:space="preserve"> points)</w:t>
      </w:r>
    </w:p>
    <w:p w:rsidR="000A2DB1" w:rsidRPr="000C636D" w:rsidRDefault="001B7A09" w:rsidP="000C636D">
      <w:pPr>
        <w:pStyle w:val="postkey0"/>
        <w:rPr>
          <w:rFonts w:asciiTheme="minorHAnsi" w:hAnsiTheme="minorHAnsi"/>
        </w:rPr>
      </w:pPr>
      <w:r>
        <w:rPr>
          <w:rFonts w:asciiTheme="minorHAnsi" w:hAnsiTheme="minorHAnsi"/>
          <w:b/>
        </w:rPr>
        <w:tab/>
      </w:r>
      <w:r w:rsidRPr="001B7A09">
        <w:rPr>
          <w:rFonts w:asciiTheme="minorHAnsi" w:hAnsiTheme="minorHAnsi"/>
        </w:rPr>
        <w:t>15.</w:t>
      </w:r>
      <w:r w:rsidR="000A2DB1" w:rsidRPr="000C636D">
        <w:rPr>
          <w:rFonts w:asciiTheme="minorHAnsi" w:hAnsiTheme="minorHAnsi"/>
          <w:b/>
        </w:rPr>
        <w:tab/>
      </w:r>
      <w:proofErr w:type="gramStart"/>
      <w:r w:rsidR="000A2DB1" w:rsidRPr="000C636D">
        <w:rPr>
          <w:rFonts w:asciiTheme="minorHAnsi" w:hAnsiTheme="minorHAnsi"/>
          <w:b/>
        </w:rPr>
        <w:t>c</w:t>
      </w:r>
      <w:proofErr w:type="gramEnd"/>
      <w:r w:rsidR="000A2DB1" w:rsidRPr="000C636D">
        <w:rPr>
          <w:rFonts w:asciiTheme="minorHAnsi" w:hAnsiTheme="minorHAnsi"/>
          <w:b/>
        </w:rPr>
        <w:tab/>
        <w:t>Land to be developed in the future</w:t>
      </w:r>
      <w:r w:rsidR="000A2DB1" w:rsidRPr="000C636D">
        <w:rPr>
          <w:rFonts w:asciiTheme="minorHAnsi" w:hAnsiTheme="minorHAnsi"/>
        </w:rPr>
        <w:t xml:space="preserve">. Real estate is property, such as land to be developed in the future. If the property becomes more valuable, investors can sell it for a profit. A certificate of deposit is a lending investment in which an individual lends money to a bank to earn a set rate of interest for a specified period of time. A bond is a lending investment in which an individual lends money to a government, municipality, or corporation to earn </w:t>
      </w:r>
      <w:r w:rsidR="00B2168A">
        <w:rPr>
          <w:rFonts w:asciiTheme="minorHAnsi" w:hAnsiTheme="minorHAnsi"/>
        </w:rPr>
        <w:br/>
      </w:r>
      <w:r w:rsidR="000A2DB1" w:rsidRPr="000C636D">
        <w:rPr>
          <w:rFonts w:asciiTheme="minorHAnsi" w:hAnsiTheme="minorHAnsi"/>
        </w:rPr>
        <w:t xml:space="preserve">a set rate of interest for a specified time period. Partial ownership of a corporation is stock. </w:t>
      </w:r>
      <w:r w:rsidR="00B2168A">
        <w:rPr>
          <w:rFonts w:asciiTheme="minorHAnsi" w:hAnsiTheme="minorHAnsi"/>
        </w:rPr>
        <w:tab/>
      </w:r>
      <w:r w:rsidRPr="000C636D">
        <w:rPr>
          <w:rFonts w:asciiTheme="minorHAnsi" w:hAnsiTheme="minorHAnsi"/>
        </w:rPr>
        <w:t>(</w:t>
      </w:r>
      <w:r w:rsidR="005119A4">
        <w:t>5</w:t>
      </w:r>
      <w:r w:rsidRPr="000C636D">
        <w:rPr>
          <w:rFonts w:asciiTheme="minorHAnsi" w:hAnsiTheme="minorHAnsi"/>
        </w:rPr>
        <w:t xml:space="preserve"> points)</w:t>
      </w:r>
    </w:p>
    <w:p w:rsidR="000A2DB1" w:rsidRPr="000C636D" w:rsidRDefault="001B7A09" w:rsidP="000C636D">
      <w:pPr>
        <w:pStyle w:val="postkey0"/>
        <w:rPr>
          <w:rFonts w:asciiTheme="minorHAnsi" w:hAnsiTheme="minorHAnsi"/>
        </w:rPr>
      </w:pPr>
      <w:r>
        <w:rPr>
          <w:rFonts w:asciiTheme="minorHAnsi" w:hAnsiTheme="minorHAnsi"/>
          <w:b/>
        </w:rPr>
        <w:tab/>
      </w:r>
      <w:r w:rsidRPr="001B7A09">
        <w:rPr>
          <w:rFonts w:asciiTheme="minorHAnsi" w:hAnsiTheme="minorHAnsi"/>
        </w:rPr>
        <w:t>16.</w:t>
      </w:r>
      <w:r w:rsidR="000A2DB1" w:rsidRPr="000C636D">
        <w:rPr>
          <w:rFonts w:asciiTheme="minorHAnsi" w:hAnsiTheme="minorHAnsi"/>
          <w:b/>
        </w:rPr>
        <w:tab/>
      </w:r>
      <w:proofErr w:type="gramStart"/>
      <w:r w:rsidR="000A2DB1" w:rsidRPr="000C636D">
        <w:rPr>
          <w:rFonts w:asciiTheme="minorHAnsi" w:hAnsiTheme="minorHAnsi"/>
          <w:b/>
        </w:rPr>
        <w:t>d</w:t>
      </w:r>
      <w:proofErr w:type="gramEnd"/>
      <w:r w:rsidR="000A2DB1" w:rsidRPr="000C636D">
        <w:rPr>
          <w:rFonts w:asciiTheme="minorHAnsi" w:hAnsiTheme="minorHAnsi"/>
          <w:b/>
        </w:rPr>
        <w:tab/>
        <w:t>Depreciation</w:t>
      </w:r>
      <w:r w:rsidR="000A2DB1" w:rsidRPr="000C636D">
        <w:rPr>
          <w:rFonts w:asciiTheme="minorHAnsi" w:hAnsiTheme="minorHAnsi"/>
        </w:rPr>
        <w:t>. The biggest risk to a real estate investment is depreciation. If property va</w:t>
      </w:r>
      <w:r w:rsidR="000A2DB1" w:rsidRPr="000C636D">
        <w:rPr>
          <w:rFonts w:asciiTheme="minorHAnsi" w:hAnsiTheme="minorHAnsi"/>
        </w:rPr>
        <w:t>l</w:t>
      </w:r>
      <w:r w:rsidR="000A2DB1" w:rsidRPr="000C636D">
        <w:rPr>
          <w:rFonts w:asciiTheme="minorHAnsi" w:hAnsiTheme="minorHAnsi"/>
        </w:rPr>
        <w:t xml:space="preserve">ues go down, the investor will not make a return and could even lose money. Only bank accounts are FDIC-insured, so not having that advantage does not necessarily make real estate a riskier investment than any other ownership investment. The same goes for the inability to write checks—this is not an advantage any other ownership investments have, either. As with most ownership investments, real estate has the potential for a high rate </w:t>
      </w:r>
      <w:r w:rsidR="00722BA6">
        <w:rPr>
          <w:rFonts w:asciiTheme="minorHAnsi" w:hAnsiTheme="minorHAnsi"/>
        </w:rPr>
        <w:br/>
      </w:r>
      <w:r w:rsidR="000A2DB1" w:rsidRPr="000C636D">
        <w:rPr>
          <w:rFonts w:asciiTheme="minorHAnsi" w:hAnsiTheme="minorHAnsi"/>
        </w:rPr>
        <w:t xml:space="preserve">of return. </w:t>
      </w:r>
      <w:r>
        <w:rPr>
          <w:rFonts w:asciiTheme="minorHAnsi" w:hAnsiTheme="minorHAnsi"/>
        </w:rPr>
        <w:tab/>
      </w:r>
      <w:r w:rsidRPr="000C636D">
        <w:rPr>
          <w:rFonts w:asciiTheme="minorHAnsi" w:hAnsiTheme="minorHAnsi"/>
        </w:rPr>
        <w:t>(</w:t>
      </w:r>
      <w:r w:rsidR="005119A4">
        <w:t>5</w:t>
      </w:r>
      <w:r w:rsidRPr="000C636D">
        <w:rPr>
          <w:rFonts w:asciiTheme="minorHAnsi" w:hAnsiTheme="minorHAnsi"/>
        </w:rPr>
        <w:t xml:space="preserve"> points)</w:t>
      </w:r>
    </w:p>
    <w:p w:rsidR="000A2DB1" w:rsidRPr="000C636D" w:rsidRDefault="0077309F" w:rsidP="000C636D">
      <w:pPr>
        <w:pStyle w:val="postkey0"/>
        <w:rPr>
          <w:rFonts w:asciiTheme="minorHAnsi" w:hAnsiTheme="minorHAnsi"/>
        </w:rPr>
      </w:pPr>
      <w:r>
        <w:rPr>
          <w:rFonts w:asciiTheme="minorHAnsi" w:hAnsiTheme="minorHAnsi"/>
        </w:rPr>
        <w:tab/>
      </w:r>
      <w:r w:rsidRPr="0077309F">
        <w:rPr>
          <w:rFonts w:asciiTheme="minorHAnsi" w:hAnsiTheme="minorHAnsi"/>
        </w:rPr>
        <w:t>17.</w:t>
      </w:r>
      <w:r w:rsidR="000A2DB1" w:rsidRPr="000C636D">
        <w:rPr>
          <w:rFonts w:asciiTheme="minorHAnsi" w:hAnsiTheme="minorHAnsi"/>
          <w:b/>
        </w:rPr>
        <w:tab/>
      </w:r>
      <w:proofErr w:type="spellStart"/>
      <w:proofErr w:type="gramStart"/>
      <w:r w:rsidR="000A2DB1" w:rsidRPr="000C636D">
        <w:rPr>
          <w:rFonts w:asciiTheme="minorHAnsi" w:hAnsiTheme="minorHAnsi"/>
          <w:b/>
        </w:rPr>
        <w:t>a</w:t>
      </w:r>
      <w:proofErr w:type="spellEnd"/>
      <w:proofErr w:type="gramEnd"/>
      <w:r w:rsidR="000A2DB1" w:rsidRPr="000C636D">
        <w:rPr>
          <w:rFonts w:asciiTheme="minorHAnsi" w:hAnsiTheme="minorHAnsi"/>
          <w:b/>
        </w:rPr>
        <w:tab/>
        <w:t>Entrepreneurship</w:t>
      </w:r>
      <w:r w:rsidR="000A2DB1" w:rsidRPr="000C636D">
        <w:rPr>
          <w:rFonts w:asciiTheme="minorHAnsi" w:hAnsiTheme="minorHAnsi"/>
        </w:rPr>
        <w:t xml:space="preserve">. The ownership investment with the greatest risk of personal loss is </w:t>
      </w:r>
      <w:r w:rsidR="00687689">
        <w:rPr>
          <w:rFonts w:asciiTheme="minorHAnsi" w:hAnsiTheme="minorHAnsi"/>
        </w:rPr>
        <w:br/>
      </w:r>
      <w:r w:rsidR="000A2DB1" w:rsidRPr="000C636D">
        <w:rPr>
          <w:rFonts w:asciiTheme="minorHAnsi" w:hAnsiTheme="minorHAnsi"/>
        </w:rPr>
        <w:t xml:space="preserve">entrepreneurship, or business ownership. When a business fails, the owner loses not just money, but also time, effort, pride, etc. A mutual fund does not carry this risk of personal loss, nor do the lending investments of savings accounts and bonds. </w:t>
      </w:r>
      <w:r>
        <w:rPr>
          <w:rFonts w:asciiTheme="minorHAnsi" w:hAnsiTheme="minorHAnsi"/>
        </w:rPr>
        <w:tab/>
      </w:r>
      <w:r w:rsidRPr="000C636D">
        <w:rPr>
          <w:rFonts w:asciiTheme="minorHAnsi" w:hAnsiTheme="minorHAnsi"/>
        </w:rPr>
        <w:t>(</w:t>
      </w:r>
      <w:r w:rsidR="005119A4">
        <w:t>5</w:t>
      </w:r>
      <w:r w:rsidRPr="000C636D">
        <w:rPr>
          <w:rFonts w:asciiTheme="minorHAnsi" w:hAnsiTheme="minorHAnsi"/>
        </w:rPr>
        <w:t xml:space="preserve"> points)</w:t>
      </w:r>
    </w:p>
    <w:p w:rsidR="00B0532D" w:rsidRPr="000C636D" w:rsidRDefault="0077309F" w:rsidP="000C636D">
      <w:pPr>
        <w:pStyle w:val="postkey0"/>
        <w:rPr>
          <w:rFonts w:asciiTheme="minorHAnsi" w:hAnsiTheme="minorHAnsi"/>
        </w:rPr>
      </w:pPr>
      <w:r>
        <w:rPr>
          <w:rFonts w:asciiTheme="minorHAnsi" w:hAnsiTheme="minorHAnsi"/>
        </w:rPr>
        <w:tab/>
        <w:t>18</w:t>
      </w:r>
      <w:r w:rsidR="00B0532D" w:rsidRPr="000C636D">
        <w:rPr>
          <w:rFonts w:asciiTheme="minorHAnsi" w:hAnsiTheme="minorHAnsi"/>
        </w:rPr>
        <w:t>.</w:t>
      </w:r>
      <w:r w:rsidR="00B0532D" w:rsidRPr="000C636D">
        <w:rPr>
          <w:rFonts w:asciiTheme="minorHAnsi" w:hAnsiTheme="minorHAnsi"/>
        </w:rPr>
        <w:tab/>
      </w:r>
      <w:proofErr w:type="gramStart"/>
      <w:r w:rsidR="00B0532D" w:rsidRPr="000C636D">
        <w:rPr>
          <w:rFonts w:asciiTheme="minorHAnsi" w:hAnsiTheme="minorHAnsi" w:cs="Helvetica-Condensed-Bold"/>
          <w:b/>
        </w:rPr>
        <w:t>b</w:t>
      </w:r>
      <w:proofErr w:type="gramEnd"/>
      <w:r w:rsidR="00B0532D" w:rsidRPr="000C636D">
        <w:rPr>
          <w:rFonts w:asciiTheme="minorHAnsi" w:hAnsiTheme="minorHAnsi" w:cs="Helvetica-Condensed-Bold"/>
          <w:b/>
        </w:rPr>
        <w:tab/>
        <w:t>Collectibles.</w:t>
      </w:r>
      <w:r>
        <w:rPr>
          <w:rFonts w:asciiTheme="minorHAnsi" w:hAnsiTheme="minorHAnsi"/>
        </w:rPr>
        <w:t xml:space="preserve"> </w:t>
      </w:r>
      <w:r w:rsidR="00B0532D" w:rsidRPr="000C636D">
        <w:rPr>
          <w:rFonts w:asciiTheme="minorHAnsi" w:hAnsiTheme="minorHAnsi"/>
        </w:rPr>
        <w:t xml:space="preserve">Items that gain or lose value over time are collectibles—such as antiques, gems, stamps, </w:t>
      </w:r>
      <w:r>
        <w:rPr>
          <w:rFonts w:asciiTheme="minorHAnsi" w:hAnsiTheme="minorHAnsi"/>
        </w:rPr>
        <w:t xml:space="preserve">dolls, and sports memorabilia. </w:t>
      </w:r>
      <w:r w:rsidR="00B0532D" w:rsidRPr="000C636D">
        <w:rPr>
          <w:rFonts w:asciiTheme="minorHAnsi" w:hAnsiTheme="minorHAnsi"/>
        </w:rPr>
        <w:t>“Collecting” usually involves owning these items, waiting until they become really valuable, and then selling the</w:t>
      </w:r>
      <w:r>
        <w:rPr>
          <w:rFonts w:asciiTheme="minorHAnsi" w:hAnsiTheme="minorHAnsi"/>
        </w:rPr>
        <w:t xml:space="preserve">m for a profit. </w:t>
      </w:r>
      <w:r w:rsidR="00B0532D" w:rsidRPr="000C636D">
        <w:rPr>
          <w:rFonts w:asciiTheme="minorHAnsi" w:hAnsiTheme="minorHAnsi"/>
        </w:rPr>
        <w:t>With stocks and stock mutual funds, investors own piece</w:t>
      </w:r>
      <w:r>
        <w:rPr>
          <w:rFonts w:asciiTheme="minorHAnsi" w:hAnsiTheme="minorHAnsi"/>
        </w:rPr>
        <w:t xml:space="preserve">s of corporations or agencies. </w:t>
      </w:r>
      <w:r w:rsidR="00B0532D" w:rsidRPr="000C636D">
        <w:rPr>
          <w:rFonts w:asciiTheme="minorHAnsi" w:hAnsiTheme="minorHAnsi"/>
        </w:rPr>
        <w:t>With real estate invest</w:t>
      </w:r>
      <w:r>
        <w:rPr>
          <w:rFonts w:asciiTheme="minorHAnsi" w:hAnsiTheme="minorHAnsi"/>
        </w:rPr>
        <w:t>ments, investors own property.</w:t>
      </w:r>
      <w:r>
        <w:rPr>
          <w:rFonts w:asciiTheme="minorHAnsi" w:hAnsiTheme="minorHAnsi"/>
        </w:rPr>
        <w:tab/>
      </w:r>
      <w:r w:rsidR="00B0532D" w:rsidRPr="000C636D">
        <w:rPr>
          <w:rFonts w:asciiTheme="minorHAnsi" w:hAnsiTheme="minorHAnsi"/>
        </w:rPr>
        <w:t>(</w:t>
      </w:r>
      <w:r w:rsidR="005119A4">
        <w:t>5</w:t>
      </w:r>
      <w:r w:rsidR="00B0532D" w:rsidRPr="000C636D">
        <w:rPr>
          <w:rFonts w:asciiTheme="minorHAnsi" w:hAnsiTheme="minorHAnsi"/>
        </w:rPr>
        <w:t xml:space="preserve"> points)</w:t>
      </w:r>
    </w:p>
    <w:p w:rsidR="00871D69" w:rsidRDefault="00871D69">
      <w:pPr>
        <w:spacing w:after="0" w:line="240" w:lineRule="auto"/>
        <w:rPr>
          <w:rFonts w:asciiTheme="minorHAnsi" w:hAnsiTheme="minorHAnsi" w:cs="Calibri"/>
          <w:b/>
          <w:bCs/>
          <w:color w:val="000000"/>
          <w:sz w:val="24"/>
          <w:szCs w:val="24"/>
        </w:rPr>
      </w:pPr>
      <w:r>
        <w:rPr>
          <w:rFonts w:asciiTheme="minorHAnsi" w:hAnsiTheme="minorHAnsi"/>
          <w:b/>
        </w:rPr>
        <w:br w:type="page"/>
      </w:r>
    </w:p>
    <w:p w:rsidR="00871D69" w:rsidRDefault="00745EEE" w:rsidP="00871D69">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088" style="position:absolute;margin-left:0;margin-top:11.5pt;width:98.25pt;height:3.55pt;z-index:-251578368" o:hrpct="272" o:hrstd="t" o:hrnoshade="t" o:hr="t" fillcolor="black" stroked="f">
            <w10:wrap type="square"/>
          </v:rect>
        </w:pict>
      </w:r>
      <w:r>
        <w:rPr>
          <w:rFonts w:ascii="Cambria" w:hAnsi="Cambria" w:cs="Calibri"/>
          <w:noProof/>
          <w:sz w:val="28"/>
          <w:szCs w:val="28"/>
        </w:rPr>
        <w:pict>
          <v:rect id="_x0000_s1089" style="position:absolute;margin-left:0;margin-top:9.75pt;width:488.25pt;height:1.75pt;z-index:251739136" o:hrstd="t" o:hrnoshade="t" o:hr="t" fillcolor="black" stroked="f">
            <w10:wrap type="square"/>
          </v:rect>
        </w:pict>
      </w:r>
      <w:r w:rsidR="00871D69" w:rsidRPr="00E43EDE">
        <w:rPr>
          <w:rFonts w:ascii="Cambria" w:hAnsi="Cambria" w:cs="Calibri"/>
          <w:b/>
          <w:sz w:val="28"/>
          <w:szCs w:val="28"/>
        </w:rPr>
        <w:t>POSTTEST</w:t>
      </w:r>
      <w:r w:rsidR="00871D69">
        <w:rPr>
          <w:rFonts w:ascii="Cambria" w:hAnsi="Cambria" w:cs="Calibri"/>
          <w:b/>
          <w:sz w:val="28"/>
          <w:szCs w:val="28"/>
        </w:rPr>
        <w:t xml:space="preserve"> KEY</w:t>
      </w:r>
      <w:r w:rsidR="00871D69" w:rsidRPr="006939B1">
        <w:rPr>
          <w:rFonts w:ascii="Cambria" w:hAnsi="Cambria" w:cs="Calibri"/>
          <w:sz w:val="20"/>
          <w:szCs w:val="20"/>
        </w:rPr>
        <w:t xml:space="preserve"> (cont’d)</w:t>
      </w:r>
    </w:p>
    <w:p w:rsidR="00871D69" w:rsidRDefault="00871D69" w:rsidP="00871D69">
      <w:pPr>
        <w:pStyle w:val="postkey0"/>
        <w:spacing w:after="0" w:line="240" w:lineRule="auto"/>
        <w:rPr>
          <w:rFonts w:asciiTheme="minorHAnsi" w:hAnsiTheme="minorHAnsi"/>
          <w:b/>
        </w:rPr>
      </w:pPr>
    </w:p>
    <w:p w:rsidR="000A2DB1" w:rsidRPr="000C636D" w:rsidRDefault="00E9653C" w:rsidP="000C636D">
      <w:pPr>
        <w:pStyle w:val="postkey0"/>
        <w:rPr>
          <w:rFonts w:asciiTheme="minorHAnsi" w:hAnsiTheme="minorHAnsi"/>
        </w:rPr>
      </w:pPr>
      <w:r>
        <w:rPr>
          <w:rFonts w:asciiTheme="minorHAnsi" w:hAnsiTheme="minorHAnsi"/>
          <w:b/>
        </w:rPr>
        <w:tab/>
      </w:r>
      <w:r w:rsidRPr="00E9653C">
        <w:rPr>
          <w:rFonts w:asciiTheme="minorHAnsi" w:hAnsiTheme="minorHAnsi"/>
        </w:rPr>
        <w:t>19.</w:t>
      </w:r>
      <w:r w:rsidR="000A2DB1" w:rsidRPr="000C636D">
        <w:rPr>
          <w:rFonts w:asciiTheme="minorHAnsi" w:hAnsiTheme="minorHAnsi"/>
          <w:b/>
        </w:rPr>
        <w:tab/>
      </w:r>
      <w:proofErr w:type="gramStart"/>
      <w:r w:rsidR="000A2DB1" w:rsidRPr="000C636D">
        <w:rPr>
          <w:rFonts w:asciiTheme="minorHAnsi" w:hAnsiTheme="minorHAnsi"/>
          <w:b/>
        </w:rPr>
        <w:t>c</w:t>
      </w:r>
      <w:proofErr w:type="gramEnd"/>
      <w:r w:rsidR="000A2DB1" w:rsidRPr="000C636D">
        <w:rPr>
          <w:rFonts w:asciiTheme="minorHAnsi" w:hAnsiTheme="minorHAnsi"/>
          <w:b/>
        </w:rPr>
        <w:tab/>
        <w:t>Themselves</w:t>
      </w:r>
      <w:r w:rsidR="000A2DB1" w:rsidRPr="000C636D">
        <w:rPr>
          <w:rFonts w:asciiTheme="minorHAnsi" w:hAnsiTheme="minorHAnsi"/>
        </w:rPr>
        <w:t>. Businesses invest money just as individuals do, with the hope for a healthy return. Often, businesses invest back into themselves by researching and developing new products, purchasing the latest and most efficient technologies, expanding into new ma</w:t>
      </w:r>
      <w:r w:rsidR="000A2DB1" w:rsidRPr="000C636D">
        <w:rPr>
          <w:rFonts w:asciiTheme="minorHAnsi" w:hAnsiTheme="minorHAnsi"/>
        </w:rPr>
        <w:t>r</w:t>
      </w:r>
      <w:r w:rsidR="000A2DB1" w:rsidRPr="000C636D">
        <w:rPr>
          <w:rFonts w:asciiTheme="minorHAnsi" w:hAnsiTheme="minorHAnsi"/>
        </w:rPr>
        <w:t xml:space="preserve">kets, etc. They may also invest in stocks, bonds, or real estate, but putting money back into the company is the most common form of business investment. </w:t>
      </w:r>
      <w:r>
        <w:rPr>
          <w:rFonts w:asciiTheme="minorHAnsi" w:hAnsiTheme="minorHAnsi"/>
        </w:rPr>
        <w:tab/>
      </w:r>
      <w:r w:rsidRPr="000C636D">
        <w:rPr>
          <w:rFonts w:asciiTheme="minorHAnsi" w:hAnsiTheme="minorHAnsi"/>
        </w:rPr>
        <w:t>(</w:t>
      </w:r>
      <w:r w:rsidR="002A53D9">
        <w:t>5</w:t>
      </w:r>
      <w:r w:rsidRPr="000C636D">
        <w:rPr>
          <w:rFonts w:asciiTheme="minorHAnsi" w:hAnsiTheme="minorHAnsi"/>
        </w:rPr>
        <w:t xml:space="preserve"> points)</w:t>
      </w:r>
    </w:p>
    <w:p w:rsidR="000A2DB1" w:rsidRDefault="00E9653C" w:rsidP="00095EF3">
      <w:pPr>
        <w:pStyle w:val="postkey0"/>
        <w:spacing w:after="120" w:line="240" w:lineRule="auto"/>
        <w:rPr>
          <w:rFonts w:asciiTheme="minorHAnsi" w:hAnsiTheme="minorHAnsi"/>
        </w:rPr>
      </w:pPr>
      <w:r>
        <w:rPr>
          <w:rFonts w:asciiTheme="minorHAnsi" w:hAnsiTheme="minorHAnsi"/>
          <w:b/>
        </w:rPr>
        <w:tab/>
      </w:r>
      <w:r w:rsidRPr="00E9653C">
        <w:rPr>
          <w:rFonts w:asciiTheme="minorHAnsi" w:hAnsiTheme="minorHAnsi"/>
        </w:rPr>
        <w:t>20.</w:t>
      </w:r>
      <w:r w:rsidR="000A2DB1" w:rsidRPr="000C636D">
        <w:rPr>
          <w:rFonts w:asciiTheme="minorHAnsi" w:hAnsiTheme="minorHAnsi"/>
          <w:b/>
        </w:rPr>
        <w:tab/>
      </w:r>
      <w:proofErr w:type="gramStart"/>
      <w:r w:rsidR="000A2DB1" w:rsidRPr="000C636D">
        <w:rPr>
          <w:rFonts w:asciiTheme="minorHAnsi" w:hAnsiTheme="minorHAnsi"/>
          <w:b/>
        </w:rPr>
        <w:t>b</w:t>
      </w:r>
      <w:proofErr w:type="gramEnd"/>
      <w:r w:rsidR="000A2DB1" w:rsidRPr="000C636D">
        <w:rPr>
          <w:rFonts w:asciiTheme="minorHAnsi" w:hAnsiTheme="minorHAnsi"/>
          <w:b/>
        </w:rPr>
        <w:tab/>
        <w:t>Endowment funds</w:t>
      </w:r>
      <w:r w:rsidR="000A2DB1" w:rsidRPr="000C636D">
        <w:rPr>
          <w:rFonts w:asciiTheme="minorHAnsi" w:hAnsiTheme="minorHAnsi"/>
        </w:rPr>
        <w:t>. Non-profit organizations often pool and invest donated money in e</w:t>
      </w:r>
      <w:r w:rsidR="000A2DB1" w:rsidRPr="000C636D">
        <w:rPr>
          <w:rFonts w:asciiTheme="minorHAnsi" w:hAnsiTheme="minorHAnsi"/>
        </w:rPr>
        <w:t>n</w:t>
      </w:r>
      <w:r w:rsidR="000A2DB1" w:rsidRPr="000C636D">
        <w:rPr>
          <w:rFonts w:asciiTheme="minorHAnsi" w:hAnsiTheme="minorHAnsi"/>
        </w:rPr>
        <w:t xml:space="preserve">dowment funds. These funds are intended to create additional wealth for the organization. Non-profits do not usually invest pooled funds in CDs, savings accounts, or money market accounts. </w:t>
      </w:r>
      <w:r>
        <w:rPr>
          <w:rFonts w:asciiTheme="minorHAnsi" w:hAnsiTheme="minorHAnsi"/>
        </w:rPr>
        <w:tab/>
      </w:r>
      <w:r w:rsidRPr="000C636D">
        <w:rPr>
          <w:rFonts w:asciiTheme="minorHAnsi" w:hAnsiTheme="minorHAnsi"/>
        </w:rPr>
        <w:t>(</w:t>
      </w:r>
      <w:r w:rsidR="002A53D9">
        <w:t>5</w:t>
      </w:r>
      <w:r w:rsidRPr="000C636D">
        <w:rPr>
          <w:rFonts w:asciiTheme="minorHAnsi" w:hAnsiTheme="minorHAnsi"/>
        </w:rPr>
        <w:t xml:space="preserve"> points)</w:t>
      </w:r>
    </w:p>
    <w:p w:rsidR="00871D69" w:rsidRPr="000C636D" w:rsidRDefault="00871D69" w:rsidP="00871D69">
      <w:pPr>
        <w:pStyle w:val="postkey0"/>
        <w:spacing w:after="0" w:line="240" w:lineRule="auto"/>
        <w:rPr>
          <w:rFonts w:asciiTheme="minorHAnsi" w:hAnsiTheme="minorHAnsi"/>
        </w:rPr>
      </w:pPr>
    </w:p>
    <w:p w:rsidR="000A2DB1" w:rsidRPr="000C636D" w:rsidRDefault="000A2DB1" w:rsidP="00871D69">
      <w:pPr>
        <w:pStyle w:val="postkey0"/>
        <w:spacing w:after="0" w:line="240" w:lineRule="auto"/>
        <w:rPr>
          <w:rFonts w:asciiTheme="minorHAnsi" w:hAnsiTheme="minorHAnsi"/>
        </w:rPr>
      </w:pPr>
    </w:p>
    <w:p w:rsidR="00C02711" w:rsidRDefault="000A2DB1" w:rsidP="00871D69">
      <w:pPr>
        <w:pStyle w:val="NoSpacing"/>
        <w:rPr>
          <w:rFonts w:asciiTheme="minorHAnsi" w:hAnsiTheme="minorHAnsi"/>
          <w:sz w:val="24"/>
          <w:szCs w:val="24"/>
        </w:rPr>
      </w:pPr>
      <w:r w:rsidRPr="00871D69">
        <w:rPr>
          <w:rFonts w:asciiTheme="minorHAnsi" w:hAnsiTheme="minorHAnsi"/>
          <w:b/>
          <w:sz w:val="24"/>
          <w:szCs w:val="24"/>
        </w:rPr>
        <w:t>Suggested</w:t>
      </w:r>
      <w:r w:rsidRPr="00871D69">
        <w:rPr>
          <w:rFonts w:asciiTheme="minorHAnsi" w:hAnsiTheme="minorHAnsi"/>
          <w:sz w:val="24"/>
          <w:szCs w:val="24"/>
        </w:rPr>
        <w:t xml:space="preserve"> Criterion Level: 80 points</w:t>
      </w:r>
    </w:p>
    <w:p w:rsidR="00126503" w:rsidRDefault="00126503" w:rsidP="000D0042">
      <w:pPr>
        <w:pStyle w:val="TOC-A"/>
      </w:pPr>
      <w:bookmarkStart w:id="0" w:name="_GoBack"/>
      <w:bookmarkEnd w:id="0"/>
    </w:p>
    <w:sectPr w:rsidR="00126503" w:rsidSect="00C02711">
      <w:footerReference w:type="default" r:id="rId8"/>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11" w:rsidRDefault="00C02711" w:rsidP="00126503">
      <w:pPr>
        <w:spacing w:after="0" w:line="240" w:lineRule="auto"/>
      </w:pPr>
      <w:r>
        <w:separator/>
      </w:r>
    </w:p>
  </w:endnote>
  <w:endnote w:type="continuationSeparator" w:id="0">
    <w:p w:rsidR="00C02711" w:rsidRDefault="00C02711"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Helvetica-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Condensed-Bold">
    <w:panose1 w:val="00000000000000000000"/>
    <w:charset w:val="4D"/>
    <w:family w:val="auto"/>
    <w:notTrueType/>
    <w:pitch w:val="default"/>
    <w:sig w:usb0="00000003" w:usb1="00000000" w:usb2="00000000" w:usb3="00000000" w:csb0="00000001" w:csb1="00000000"/>
  </w:font>
  <w:font w:name="Helvetica-Condensed-Obliq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11" w:rsidRPr="00F72EF7" w:rsidRDefault="00745EEE" w:rsidP="001C6FB8">
    <w:pPr>
      <w:pStyle w:val="Footer"/>
      <w:tabs>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02711" w:rsidRPr="001C6FB8">
      <w:rPr>
        <w:rFonts w:ascii="Cambria" w:hAnsi="Cambria"/>
        <w:sz w:val="18"/>
        <w:szCs w:val="18"/>
      </w:rPr>
      <w:t>LAP-FI-077-CS   ©2015, MBA</w:t>
    </w:r>
    <w:r w:rsidR="00C02711" w:rsidRPr="00B07472">
      <w:rPr>
        <w:rFonts w:ascii="Cambria" w:hAnsi="Cambria"/>
        <w:sz w:val="18"/>
        <w:szCs w:val="18"/>
      </w:rPr>
      <w:t xml:space="preserve"> Research and Curriculum Center®       </w:t>
    </w:r>
    <w:r w:rsidR="00C02711">
      <w:rPr>
        <w:rFonts w:ascii="Cambria" w:hAnsi="Cambria"/>
        <w:sz w:val="18"/>
        <w:szCs w:val="18"/>
      </w:rPr>
      <w:t xml:space="preserve">              </w:t>
    </w:r>
    <w:r w:rsidR="00C02711">
      <w:rPr>
        <w:rFonts w:ascii="Cambria" w:hAnsi="Cambria"/>
        <w:sz w:val="18"/>
        <w:szCs w:val="18"/>
      </w:rPr>
      <w:tab/>
    </w:r>
    <w:r w:rsidR="00C02711" w:rsidRPr="001C6FB8">
      <w:rPr>
        <w:rFonts w:ascii="Cambria" w:hAnsi="Cambria"/>
        <w:b/>
        <w:sz w:val="18"/>
        <w:szCs w:val="18"/>
      </w:rPr>
      <w:t>Invest for Success</w:t>
    </w:r>
    <w:r w:rsidR="00C02711" w:rsidRPr="00B07472">
      <w:rPr>
        <w:rFonts w:ascii="Cambria" w:hAnsi="Cambria"/>
        <w:sz w:val="18"/>
        <w:szCs w:val="18"/>
      </w:rPr>
      <w:t xml:space="preserve">   </w:t>
    </w:r>
    <w:r w:rsidR="00C02711" w:rsidRPr="00B07472">
      <w:rPr>
        <w:rStyle w:val="PageNumber"/>
        <w:rFonts w:ascii="Cambria" w:hAnsi="Cambria"/>
        <w:sz w:val="18"/>
        <w:szCs w:val="18"/>
      </w:rPr>
      <w:fldChar w:fldCharType="begin"/>
    </w:r>
    <w:r w:rsidR="00C02711" w:rsidRPr="00B07472">
      <w:rPr>
        <w:rStyle w:val="PageNumber"/>
        <w:rFonts w:ascii="Cambria" w:hAnsi="Cambria"/>
        <w:sz w:val="18"/>
        <w:szCs w:val="18"/>
      </w:rPr>
      <w:instrText xml:space="preserve">PAGE  </w:instrText>
    </w:r>
    <w:r w:rsidR="00C02711" w:rsidRPr="00B07472">
      <w:rPr>
        <w:rStyle w:val="PageNumber"/>
        <w:rFonts w:ascii="Cambria" w:hAnsi="Cambria"/>
        <w:sz w:val="18"/>
        <w:szCs w:val="18"/>
      </w:rPr>
      <w:fldChar w:fldCharType="separate"/>
    </w:r>
    <w:r>
      <w:rPr>
        <w:rStyle w:val="PageNumber"/>
        <w:rFonts w:ascii="Cambria" w:hAnsi="Cambria"/>
        <w:noProof/>
        <w:sz w:val="18"/>
        <w:szCs w:val="18"/>
      </w:rPr>
      <w:t>1</w:t>
    </w:r>
    <w:r w:rsidR="00C0271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11" w:rsidRDefault="00C02711" w:rsidP="00126503">
      <w:pPr>
        <w:spacing w:after="0" w:line="240" w:lineRule="auto"/>
      </w:pPr>
      <w:r>
        <w:separator/>
      </w:r>
    </w:p>
  </w:footnote>
  <w:footnote w:type="continuationSeparator" w:id="0">
    <w:p w:rsidR="00C02711" w:rsidRDefault="00C02711"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B14"/>
    <w:multiLevelType w:val="hybridMultilevel"/>
    <w:tmpl w:val="D458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D01"/>
    <w:multiLevelType w:val="hybridMultilevel"/>
    <w:tmpl w:val="89A8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53F2"/>
    <w:multiLevelType w:val="hybridMultilevel"/>
    <w:tmpl w:val="4F142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A582C"/>
    <w:multiLevelType w:val="hybridMultilevel"/>
    <w:tmpl w:val="6AA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427F"/>
    <w:multiLevelType w:val="hybridMultilevel"/>
    <w:tmpl w:val="6D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29BF"/>
    <w:multiLevelType w:val="hybridMultilevel"/>
    <w:tmpl w:val="8E8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843A8"/>
    <w:multiLevelType w:val="hybridMultilevel"/>
    <w:tmpl w:val="98B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21E3"/>
    <w:multiLevelType w:val="hybridMultilevel"/>
    <w:tmpl w:val="AA4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34CC4"/>
    <w:multiLevelType w:val="hybridMultilevel"/>
    <w:tmpl w:val="94D8C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393E92"/>
    <w:multiLevelType w:val="hybridMultilevel"/>
    <w:tmpl w:val="6EB46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C5186"/>
    <w:multiLevelType w:val="hybridMultilevel"/>
    <w:tmpl w:val="8A10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C5FB3"/>
    <w:multiLevelType w:val="hybridMultilevel"/>
    <w:tmpl w:val="1CB00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B973B0"/>
    <w:multiLevelType w:val="hybridMultilevel"/>
    <w:tmpl w:val="CF8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4813ED"/>
    <w:multiLevelType w:val="hybridMultilevel"/>
    <w:tmpl w:val="52560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87BC5"/>
    <w:multiLevelType w:val="hybridMultilevel"/>
    <w:tmpl w:val="068A34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0B037BE"/>
    <w:multiLevelType w:val="hybridMultilevel"/>
    <w:tmpl w:val="22EC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935AE"/>
    <w:multiLevelType w:val="hybridMultilevel"/>
    <w:tmpl w:val="FAC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9596C"/>
    <w:multiLevelType w:val="hybridMultilevel"/>
    <w:tmpl w:val="9D6CB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945327"/>
    <w:multiLevelType w:val="hybridMultilevel"/>
    <w:tmpl w:val="A9387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205130"/>
    <w:multiLevelType w:val="hybridMultilevel"/>
    <w:tmpl w:val="0F6E2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82101"/>
    <w:multiLevelType w:val="hybridMultilevel"/>
    <w:tmpl w:val="DB644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50716"/>
    <w:multiLevelType w:val="hybridMultilevel"/>
    <w:tmpl w:val="216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50367"/>
    <w:multiLevelType w:val="hybridMultilevel"/>
    <w:tmpl w:val="785E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774BF"/>
    <w:multiLevelType w:val="hybridMultilevel"/>
    <w:tmpl w:val="E036F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973B61"/>
    <w:multiLevelType w:val="hybridMultilevel"/>
    <w:tmpl w:val="693698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DC566F"/>
    <w:multiLevelType w:val="hybridMultilevel"/>
    <w:tmpl w:val="3F24C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27A2C"/>
    <w:multiLevelType w:val="hybridMultilevel"/>
    <w:tmpl w:val="071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A56A7"/>
    <w:multiLevelType w:val="hybridMultilevel"/>
    <w:tmpl w:val="F314F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BD2C02"/>
    <w:multiLevelType w:val="hybridMultilevel"/>
    <w:tmpl w:val="0DA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24522"/>
    <w:multiLevelType w:val="hybridMultilevel"/>
    <w:tmpl w:val="D64E1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17"/>
  </w:num>
  <w:num w:numId="4">
    <w:abstractNumId w:val="2"/>
  </w:num>
  <w:num w:numId="5">
    <w:abstractNumId w:val="28"/>
  </w:num>
  <w:num w:numId="6">
    <w:abstractNumId w:val="12"/>
  </w:num>
  <w:num w:numId="7">
    <w:abstractNumId w:val="0"/>
  </w:num>
  <w:num w:numId="8">
    <w:abstractNumId w:val="6"/>
  </w:num>
  <w:num w:numId="9">
    <w:abstractNumId w:val="19"/>
  </w:num>
  <w:num w:numId="10">
    <w:abstractNumId w:val="29"/>
  </w:num>
  <w:num w:numId="11">
    <w:abstractNumId w:val="18"/>
  </w:num>
  <w:num w:numId="12">
    <w:abstractNumId w:val="3"/>
  </w:num>
  <w:num w:numId="13">
    <w:abstractNumId w:val="1"/>
  </w:num>
  <w:num w:numId="14">
    <w:abstractNumId w:val="27"/>
  </w:num>
  <w:num w:numId="15">
    <w:abstractNumId w:val="8"/>
  </w:num>
  <w:num w:numId="16">
    <w:abstractNumId w:val="30"/>
  </w:num>
  <w:num w:numId="17">
    <w:abstractNumId w:val="9"/>
  </w:num>
  <w:num w:numId="18">
    <w:abstractNumId w:val="10"/>
  </w:num>
  <w:num w:numId="19">
    <w:abstractNumId w:val="11"/>
  </w:num>
  <w:num w:numId="20">
    <w:abstractNumId w:val="21"/>
  </w:num>
  <w:num w:numId="21">
    <w:abstractNumId w:val="24"/>
  </w:num>
  <w:num w:numId="22">
    <w:abstractNumId w:val="35"/>
  </w:num>
  <w:num w:numId="23">
    <w:abstractNumId w:val="4"/>
  </w:num>
  <w:num w:numId="24">
    <w:abstractNumId w:val="20"/>
  </w:num>
  <w:num w:numId="25">
    <w:abstractNumId w:val="22"/>
  </w:num>
  <w:num w:numId="26">
    <w:abstractNumId w:val="32"/>
  </w:num>
  <w:num w:numId="27">
    <w:abstractNumId w:val="36"/>
  </w:num>
  <w:num w:numId="28">
    <w:abstractNumId w:val="31"/>
  </w:num>
  <w:num w:numId="29">
    <w:abstractNumId w:val="13"/>
  </w:num>
  <w:num w:numId="30">
    <w:abstractNumId w:val="37"/>
  </w:num>
  <w:num w:numId="31">
    <w:abstractNumId w:val="23"/>
  </w:num>
  <w:num w:numId="32">
    <w:abstractNumId w:val="34"/>
  </w:num>
  <w:num w:numId="33">
    <w:abstractNumId w:val="26"/>
  </w:num>
  <w:num w:numId="34">
    <w:abstractNumId w:val="15"/>
  </w:num>
  <w:num w:numId="35">
    <w:abstractNumId w:val="5"/>
  </w:num>
  <w:num w:numId="36">
    <w:abstractNumId w:val="25"/>
  </w:num>
  <w:num w:numId="37">
    <w:abstractNumId w:val="7"/>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0557"/>
    <w:rsid w:val="00013F91"/>
    <w:rsid w:val="00016AF9"/>
    <w:rsid w:val="000210AE"/>
    <w:rsid w:val="000313C8"/>
    <w:rsid w:val="00033FC9"/>
    <w:rsid w:val="00034DF7"/>
    <w:rsid w:val="000416ED"/>
    <w:rsid w:val="00060E91"/>
    <w:rsid w:val="00066BEC"/>
    <w:rsid w:val="00067208"/>
    <w:rsid w:val="00070E8E"/>
    <w:rsid w:val="0007473E"/>
    <w:rsid w:val="0007709C"/>
    <w:rsid w:val="0008283E"/>
    <w:rsid w:val="00082F7D"/>
    <w:rsid w:val="00084979"/>
    <w:rsid w:val="00095EF3"/>
    <w:rsid w:val="000A2DB1"/>
    <w:rsid w:val="000C4E51"/>
    <w:rsid w:val="000C613C"/>
    <w:rsid w:val="000C636D"/>
    <w:rsid w:val="000D0042"/>
    <w:rsid w:val="000D0550"/>
    <w:rsid w:val="000D287C"/>
    <w:rsid w:val="000D3DB8"/>
    <w:rsid w:val="000D50D1"/>
    <w:rsid w:val="000D7075"/>
    <w:rsid w:val="000E619A"/>
    <w:rsid w:val="000E6A8E"/>
    <w:rsid w:val="000E6B11"/>
    <w:rsid w:val="000F1E01"/>
    <w:rsid w:val="000F30C2"/>
    <w:rsid w:val="00113053"/>
    <w:rsid w:val="001153B2"/>
    <w:rsid w:val="00121B6D"/>
    <w:rsid w:val="0012258C"/>
    <w:rsid w:val="0012332C"/>
    <w:rsid w:val="00126503"/>
    <w:rsid w:val="0013015D"/>
    <w:rsid w:val="001338E2"/>
    <w:rsid w:val="001363F1"/>
    <w:rsid w:val="00142076"/>
    <w:rsid w:val="00147AF5"/>
    <w:rsid w:val="00153998"/>
    <w:rsid w:val="00164595"/>
    <w:rsid w:val="001658BA"/>
    <w:rsid w:val="001672AA"/>
    <w:rsid w:val="00173EE6"/>
    <w:rsid w:val="00174616"/>
    <w:rsid w:val="0017495B"/>
    <w:rsid w:val="001758E6"/>
    <w:rsid w:val="00175B05"/>
    <w:rsid w:val="001805FE"/>
    <w:rsid w:val="001823E8"/>
    <w:rsid w:val="00184992"/>
    <w:rsid w:val="001854B5"/>
    <w:rsid w:val="001976B4"/>
    <w:rsid w:val="001A1E1F"/>
    <w:rsid w:val="001A7E42"/>
    <w:rsid w:val="001B3BA0"/>
    <w:rsid w:val="001B7A09"/>
    <w:rsid w:val="001C4117"/>
    <w:rsid w:val="001C5DCF"/>
    <w:rsid w:val="001C6FB8"/>
    <w:rsid w:val="001D1B6C"/>
    <w:rsid w:val="001D563B"/>
    <w:rsid w:val="001D5978"/>
    <w:rsid w:val="001E2315"/>
    <w:rsid w:val="001E5358"/>
    <w:rsid w:val="001F177C"/>
    <w:rsid w:val="001F468A"/>
    <w:rsid w:val="001F5B42"/>
    <w:rsid w:val="00211539"/>
    <w:rsid w:val="00211D6B"/>
    <w:rsid w:val="00214841"/>
    <w:rsid w:val="00221113"/>
    <w:rsid w:val="002260D8"/>
    <w:rsid w:val="002302AF"/>
    <w:rsid w:val="0024036F"/>
    <w:rsid w:val="00240D52"/>
    <w:rsid w:val="00240F06"/>
    <w:rsid w:val="0024680E"/>
    <w:rsid w:val="00247426"/>
    <w:rsid w:val="00250880"/>
    <w:rsid w:val="002552A1"/>
    <w:rsid w:val="00261A15"/>
    <w:rsid w:val="00282DEB"/>
    <w:rsid w:val="00283291"/>
    <w:rsid w:val="002857D0"/>
    <w:rsid w:val="00285AA4"/>
    <w:rsid w:val="00287284"/>
    <w:rsid w:val="002915EF"/>
    <w:rsid w:val="00293963"/>
    <w:rsid w:val="0029397F"/>
    <w:rsid w:val="002A0BC7"/>
    <w:rsid w:val="002A323B"/>
    <w:rsid w:val="002A4829"/>
    <w:rsid w:val="002A53D9"/>
    <w:rsid w:val="002A6586"/>
    <w:rsid w:val="002B152E"/>
    <w:rsid w:val="002B170C"/>
    <w:rsid w:val="002B1C70"/>
    <w:rsid w:val="002B1D73"/>
    <w:rsid w:val="002B2E61"/>
    <w:rsid w:val="002C3EDF"/>
    <w:rsid w:val="002C732C"/>
    <w:rsid w:val="002D20F3"/>
    <w:rsid w:val="002D350C"/>
    <w:rsid w:val="002D37A6"/>
    <w:rsid w:val="002D769D"/>
    <w:rsid w:val="002F7A39"/>
    <w:rsid w:val="00302641"/>
    <w:rsid w:val="003069CA"/>
    <w:rsid w:val="003078C2"/>
    <w:rsid w:val="00315058"/>
    <w:rsid w:val="003160B6"/>
    <w:rsid w:val="00317F35"/>
    <w:rsid w:val="003218C8"/>
    <w:rsid w:val="003225EC"/>
    <w:rsid w:val="00323047"/>
    <w:rsid w:val="00323551"/>
    <w:rsid w:val="003236C7"/>
    <w:rsid w:val="00324F7B"/>
    <w:rsid w:val="00326CE7"/>
    <w:rsid w:val="00337AF6"/>
    <w:rsid w:val="00343999"/>
    <w:rsid w:val="00345CFF"/>
    <w:rsid w:val="003637BD"/>
    <w:rsid w:val="0036784C"/>
    <w:rsid w:val="00374356"/>
    <w:rsid w:val="003823FB"/>
    <w:rsid w:val="00390E45"/>
    <w:rsid w:val="00391314"/>
    <w:rsid w:val="0039495F"/>
    <w:rsid w:val="003A2F3D"/>
    <w:rsid w:val="003A3352"/>
    <w:rsid w:val="003B1346"/>
    <w:rsid w:val="003B3C77"/>
    <w:rsid w:val="003B4B44"/>
    <w:rsid w:val="003B76FE"/>
    <w:rsid w:val="003C3695"/>
    <w:rsid w:val="003C50BF"/>
    <w:rsid w:val="003C6386"/>
    <w:rsid w:val="003C78AB"/>
    <w:rsid w:val="003D2317"/>
    <w:rsid w:val="003E468B"/>
    <w:rsid w:val="003F0AB6"/>
    <w:rsid w:val="003F2A73"/>
    <w:rsid w:val="003F649B"/>
    <w:rsid w:val="003F7FD0"/>
    <w:rsid w:val="00407125"/>
    <w:rsid w:val="004074E1"/>
    <w:rsid w:val="00411BA3"/>
    <w:rsid w:val="00430303"/>
    <w:rsid w:val="004325C7"/>
    <w:rsid w:val="00437BB8"/>
    <w:rsid w:val="00440264"/>
    <w:rsid w:val="00441416"/>
    <w:rsid w:val="00442105"/>
    <w:rsid w:val="00444B1D"/>
    <w:rsid w:val="00445EC8"/>
    <w:rsid w:val="00447E33"/>
    <w:rsid w:val="00451F1F"/>
    <w:rsid w:val="004552EA"/>
    <w:rsid w:val="004613B9"/>
    <w:rsid w:val="00463522"/>
    <w:rsid w:val="00484369"/>
    <w:rsid w:val="004902B5"/>
    <w:rsid w:val="0049685D"/>
    <w:rsid w:val="004A141B"/>
    <w:rsid w:val="004A2137"/>
    <w:rsid w:val="004A51EE"/>
    <w:rsid w:val="004A7351"/>
    <w:rsid w:val="004B215A"/>
    <w:rsid w:val="004C10B1"/>
    <w:rsid w:val="004C47EC"/>
    <w:rsid w:val="004D2FA7"/>
    <w:rsid w:val="004D42FA"/>
    <w:rsid w:val="004D4A9F"/>
    <w:rsid w:val="004D5767"/>
    <w:rsid w:val="004E56E2"/>
    <w:rsid w:val="004E65D5"/>
    <w:rsid w:val="004F01C0"/>
    <w:rsid w:val="004F24C9"/>
    <w:rsid w:val="004F6AD1"/>
    <w:rsid w:val="00500DF8"/>
    <w:rsid w:val="00502C32"/>
    <w:rsid w:val="00503112"/>
    <w:rsid w:val="00504135"/>
    <w:rsid w:val="00504151"/>
    <w:rsid w:val="00510CD9"/>
    <w:rsid w:val="005119A4"/>
    <w:rsid w:val="00513986"/>
    <w:rsid w:val="00514534"/>
    <w:rsid w:val="00515667"/>
    <w:rsid w:val="00515CCB"/>
    <w:rsid w:val="005163AD"/>
    <w:rsid w:val="005209AE"/>
    <w:rsid w:val="005219B5"/>
    <w:rsid w:val="0052457F"/>
    <w:rsid w:val="005256B5"/>
    <w:rsid w:val="00526464"/>
    <w:rsid w:val="00533599"/>
    <w:rsid w:val="0053431F"/>
    <w:rsid w:val="00540AD4"/>
    <w:rsid w:val="00544639"/>
    <w:rsid w:val="00551E60"/>
    <w:rsid w:val="00553148"/>
    <w:rsid w:val="0055392C"/>
    <w:rsid w:val="00556FDE"/>
    <w:rsid w:val="00562C9F"/>
    <w:rsid w:val="00563C42"/>
    <w:rsid w:val="00566E3B"/>
    <w:rsid w:val="00572695"/>
    <w:rsid w:val="005732A2"/>
    <w:rsid w:val="005755EB"/>
    <w:rsid w:val="00576996"/>
    <w:rsid w:val="00580797"/>
    <w:rsid w:val="00584ABC"/>
    <w:rsid w:val="00586B1C"/>
    <w:rsid w:val="00596544"/>
    <w:rsid w:val="005A3BE2"/>
    <w:rsid w:val="005B0253"/>
    <w:rsid w:val="005B3705"/>
    <w:rsid w:val="005B6D94"/>
    <w:rsid w:val="005C0628"/>
    <w:rsid w:val="005C125A"/>
    <w:rsid w:val="005C2822"/>
    <w:rsid w:val="005C4BF4"/>
    <w:rsid w:val="005C4F7C"/>
    <w:rsid w:val="005C55DC"/>
    <w:rsid w:val="005D3F97"/>
    <w:rsid w:val="005D5FB0"/>
    <w:rsid w:val="005D6760"/>
    <w:rsid w:val="005D7657"/>
    <w:rsid w:val="0061572A"/>
    <w:rsid w:val="00631650"/>
    <w:rsid w:val="00631A74"/>
    <w:rsid w:val="00635D45"/>
    <w:rsid w:val="006419AB"/>
    <w:rsid w:val="006427A9"/>
    <w:rsid w:val="00642896"/>
    <w:rsid w:val="00642D0A"/>
    <w:rsid w:val="00647CF4"/>
    <w:rsid w:val="00654268"/>
    <w:rsid w:val="00655140"/>
    <w:rsid w:val="006618CA"/>
    <w:rsid w:val="00677532"/>
    <w:rsid w:val="00680A64"/>
    <w:rsid w:val="006831A1"/>
    <w:rsid w:val="006869DC"/>
    <w:rsid w:val="00687689"/>
    <w:rsid w:val="006878DD"/>
    <w:rsid w:val="00691F66"/>
    <w:rsid w:val="006923FA"/>
    <w:rsid w:val="006A2747"/>
    <w:rsid w:val="006A5D1E"/>
    <w:rsid w:val="006A6E35"/>
    <w:rsid w:val="006B7C47"/>
    <w:rsid w:val="006C0F8B"/>
    <w:rsid w:val="006C62EF"/>
    <w:rsid w:val="006D395D"/>
    <w:rsid w:val="006E4729"/>
    <w:rsid w:val="006F0508"/>
    <w:rsid w:val="006F247F"/>
    <w:rsid w:val="006F539A"/>
    <w:rsid w:val="006F5D2D"/>
    <w:rsid w:val="007061A7"/>
    <w:rsid w:val="00710A5D"/>
    <w:rsid w:val="00716D79"/>
    <w:rsid w:val="00722BA6"/>
    <w:rsid w:val="007330AD"/>
    <w:rsid w:val="00745EEE"/>
    <w:rsid w:val="007479F5"/>
    <w:rsid w:val="00750555"/>
    <w:rsid w:val="00752537"/>
    <w:rsid w:val="00763641"/>
    <w:rsid w:val="00765368"/>
    <w:rsid w:val="0077309F"/>
    <w:rsid w:val="00775E92"/>
    <w:rsid w:val="00780119"/>
    <w:rsid w:val="00780B7E"/>
    <w:rsid w:val="00792D48"/>
    <w:rsid w:val="00796326"/>
    <w:rsid w:val="007A0A94"/>
    <w:rsid w:val="007A2318"/>
    <w:rsid w:val="007A2FD1"/>
    <w:rsid w:val="007A77AA"/>
    <w:rsid w:val="007A7D6A"/>
    <w:rsid w:val="007B0589"/>
    <w:rsid w:val="007B1D9F"/>
    <w:rsid w:val="007B2E78"/>
    <w:rsid w:val="007C0F4A"/>
    <w:rsid w:val="007C1244"/>
    <w:rsid w:val="007C29E7"/>
    <w:rsid w:val="007C3958"/>
    <w:rsid w:val="007D08A2"/>
    <w:rsid w:val="007D58D8"/>
    <w:rsid w:val="007E4EBD"/>
    <w:rsid w:val="007E4F2C"/>
    <w:rsid w:val="007F08C5"/>
    <w:rsid w:val="007F0C8B"/>
    <w:rsid w:val="007F2395"/>
    <w:rsid w:val="007F37AB"/>
    <w:rsid w:val="007F39B9"/>
    <w:rsid w:val="007F5EBA"/>
    <w:rsid w:val="007F6AE1"/>
    <w:rsid w:val="007F7511"/>
    <w:rsid w:val="00806104"/>
    <w:rsid w:val="0081100C"/>
    <w:rsid w:val="0082531E"/>
    <w:rsid w:val="008325A0"/>
    <w:rsid w:val="00835D55"/>
    <w:rsid w:val="00846D98"/>
    <w:rsid w:val="00847BD7"/>
    <w:rsid w:val="00850FEC"/>
    <w:rsid w:val="00852F67"/>
    <w:rsid w:val="00853274"/>
    <w:rsid w:val="0085335E"/>
    <w:rsid w:val="00855B28"/>
    <w:rsid w:val="008611D9"/>
    <w:rsid w:val="0086485F"/>
    <w:rsid w:val="00871D69"/>
    <w:rsid w:val="00871DF9"/>
    <w:rsid w:val="0087580C"/>
    <w:rsid w:val="00875FDB"/>
    <w:rsid w:val="00876F09"/>
    <w:rsid w:val="0088285A"/>
    <w:rsid w:val="00887749"/>
    <w:rsid w:val="00894907"/>
    <w:rsid w:val="00895985"/>
    <w:rsid w:val="00895B8D"/>
    <w:rsid w:val="00896DC1"/>
    <w:rsid w:val="008A50C2"/>
    <w:rsid w:val="008A5857"/>
    <w:rsid w:val="008A7388"/>
    <w:rsid w:val="008B5161"/>
    <w:rsid w:val="008B519B"/>
    <w:rsid w:val="008C5AE2"/>
    <w:rsid w:val="008D2443"/>
    <w:rsid w:val="008E1261"/>
    <w:rsid w:val="008E1290"/>
    <w:rsid w:val="008E4D34"/>
    <w:rsid w:val="008E7456"/>
    <w:rsid w:val="008F70CE"/>
    <w:rsid w:val="009013E0"/>
    <w:rsid w:val="00912495"/>
    <w:rsid w:val="009176BE"/>
    <w:rsid w:val="0092170A"/>
    <w:rsid w:val="00934B0D"/>
    <w:rsid w:val="009418DD"/>
    <w:rsid w:val="00943AC9"/>
    <w:rsid w:val="00943E7D"/>
    <w:rsid w:val="0094449D"/>
    <w:rsid w:val="00944D50"/>
    <w:rsid w:val="00945426"/>
    <w:rsid w:val="009463E1"/>
    <w:rsid w:val="00947B9F"/>
    <w:rsid w:val="00955B43"/>
    <w:rsid w:val="009566ED"/>
    <w:rsid w:val="00963939"/>
    <w:rsid w:val="00966529"/>
    <w:rsid w:val="00974A1D"/>
    <w:rsid w:val="009768B7"/>
    <w:rsid w:val="00980306"/>
    <w:rsid w:val="0098135D"/>
    <w:rsid w:val="0098265C"/>
    <w:rsid w:val="00982FAF"/>
    <w:rsid w:val="009842DC"/>
    <w:rsid w:val="00985DA3"/>
    <w:rsid w:val="00985EE2"/>
    <w:rsid w:val="00987B0E"/>
    <w:rsid w:val="00990B2A"/>
    <w:rsid w:val="009952EF"/>
    <w:rsid w:val="009A23C8"/>
    <w:rsid w:val="009A63DB"/>
    <w:rsid w:val="009A6635"/>
    <w:rsid w:val="009B367A"/>
    <w:rsid w:val="009B75C4"/>
    <w:rsid w:val="009C6027"/>
    <w:rsid w:val="009D6C84"/>
    <w:rsid w:val="009E4080"/>
    <w:rsid w:val="009F7AF7"/>
    <w:rsid w:val="009F7EA7"/>
    <w:rsid w:val="00A05448"/>
    <w:rsid w:val="00A058AF"/>
    <w:rsid w:val="00A05FAE"/>
    <w:rsid w:val="00A10AEF"/>
    <w:rsid w:val="00A10D8A"/>
    <w:rsid w:val="00A12DDC"/>
    <w:rsid w:val="00A135D1"/>
    <w:rsid w:val="00A15F20"/>
    <w:rsid w:val="00A16A88"/>
    <w:rsid w:val="00A16FD8"/>
    <w:rsid w:val="00A22C0D"/>
    <w:rsid w:val="00A30F4A"/>
    <w:rsid w:val="00A31330"/>
    <w:rsid w:val="00A31DF3"/>
    <w:rsid w:val="00A41541"/>
    <w:rsid w:val="00A41BB7"/>
    <w:rsid w:val="00A43A0A"/>
    <w:rsid w:val="00A46C15"/>
    <w:rsid w:val="00A46C60"/>
    <w:rsid w:val="00A50FA6"/>
    <w:rsid w:val="00A55E29"/>
    <w:rsid w:val="00A60DBC"/>
    <w:rsid w:val="00A62AA0"/>
    <w:rsid w:val="00A65D34"/>
    <w:rsid w:val="00A66EE2"/>
    <w:rsid w:val="00A6711D"/>
    <w:rsid w:val="00A7092E"/>
    <w:rsid w:val="00A70D9D"/>
    <w:rsid w:val="00A7675A"/>
    <w:rsid w:val="00A85547"/>
    <w:rsid w:val="00A90388"/>
    <w:rsid w:val="00A951F5"/>
    <w:rsid w:val="00AA0CA7"/>
    <w:rsid w:val="00AA5099"/>
    <w:rsid w:val="00AB4085"/>
    <w:rsid w:val="00AB5262"/>
    <w:rsid w:val="00AB626E"/>
    <w:rsid w:val="00AC3B32"/>
    <w:rsid w:val="00AD5786"/>
    <w:rsid w:val="00AD782E"/>
    <w:rsid w:val="00AE7F06"/>
    <w:rsid w:val="00AF00F5"/>
    <w:rsid w:val="00AF3C62"/>
    <w:rsid w:val="00B0532D"/>
    <w:rsid w:val="00B108F9"/>
    <w:rsid w:val="00B127AB"/>
    <w:rsid w:val="00B128BE"/>
    <w:rsid w:val="00B132AC"/>
    <w:rsid w:val="00B132FB"/>
    <w:rsid w:val="00B15CF0"/>
    <w:rsid w:val="00B2168A"/>
    <w:rsid w:val="00B22A77"/>
    <w:rsid w:val="00B24756"/>
    <w:rsid w:val="00B2667B"/>
    <w:rsid w:val="00B355DF"/>
    <w:rsid w:val="00B40615"/>
    <w:rsid w:val="00B40FA1"/>
    <w:rsid w:val="00B5487A"/>
    <w:rsid w:val="00B56FBF"/>
    <w:rsid w:val="00B6548B"/>
    <w:rsid w:val="00B73469"/>
    <w:rsid w:val="00B73EEE"/>
    <w:rsid w:val="00B75D15"/>
    <w:rsid w:val="00B80D07"/>
    <w:rsid w:val="00B95B69"/>
    <w:rsid w:val="00B970AE"/>
    <w:rsid w:val="00B97EDE"/>
    <w:rsid w:val="00BA0D39"/>
    <w:rsid w:val="00BA1EB2"/>
    <w:rsid w:val="00BB013F"/>
    <w:rsid w:val="00BB292B"/>
    <w:rsid w:val="00BB2B99"/>
    <w:rsid w:val="00BB4395"/>
    <w:rsid w:val="00BB5610"/>
    <w:rsid w:val="00BB5D0D"/>
    <w:rsid w:val="00BB6F54"/>
    <w:rsid w:val="00BB711A"/>
    <w:rsid w:val="00BC172D"/>
    <w:rsid w:val="00BC3DD5"/>
    <w:rsid w:val="00BC4AE2"/>
    <w:rsid w:val="00BC4C02"/>
    <w:rsid w:val="00BC51FC"/>
    <w:rsid w:val="00BD4A27"/>
    <w:rsid w:val="00BD6077"/>
    <w:rsid w:val="00BD7843"/>
    <w:rsid w:val="00BD7C4A"/>
    <w:rsid w:val="00BE0731"/>
    <w:rsid w:val="00BE30A9"/>
    <w:rsid w:val="00BE33FF"/>
    <w:rsid w:val="00BE625C"/>
    <w:rsid w:val="00BE659C"/>
    <w:rsid w:val="00BF39F9"/>
    <w:rsid w:val="00BF5542"/>
    <w:rsid w:val="00C02711"/>
    <w:rsid w:val="00C05B57"/>
    <w:rsid w:val="00C061FF"/>
    <w:rsid w:val="00C06367"/>
    <w:rsid w:val="00C13C83"/>
    <w:rsid w:val="00C157D4"/>
    <w:rsid w:val="00C16E95"/>
    <w:rsid w:val="00C22124"/>
    <w:rsid w:val="00C36743"/>
    <w:rsid w:val="00C42FF4"/>
    <w:rsid w:val="00C4629A"/>
    <w:rsid w:val="00C6046A"/>
    <w:rsid w:val="00C64744"/>
    <w:rsid w:val="00C7038B"/>
    <w:rsid w:val="00C807F7"/>
    <w:rsid w:val="00C84DDC"/>
    <w:rsid w:val="00C85E83"/>
    <w:rsid w:val="00C87E52"/>
    <w:rsid w:val="00C906A2"/>
    <w:rsid w:val="00C955CF"/>
    <w:rsid w:val="00C965D1"/>
    <w:rsid w:val="00CA2311"/>
    <w:rsid w:val="00CA2885"/>
    <w:rsid w:val="00CA3937"/>
    <w:rsid w:val="00CA427B"/>
    <w:rsid w:val="00CB3EA5"/>
    <w:rsid w:val="00CB4B33"/>
    <w:rsid w:val="00CC3005"/>
    <w:rsid w:val="00CC3CA8"/>
    <w:rsid w:val="00CC3FB8"/>
    <w:rsid w:val="00CD1EA3"/>
    <w:rsid w:val="00CD26F7"/>
    <w:rsid w:val="00CD328B"/>
    <w:rsid w:val="00CD37F8"/>
    <w:rsid w:val="00CD61A3"/>
    <w:rsid w:val="00CE2BE3"/>
    <w:rsid w:val="00CE5A8E"/>
    <w:rsid w:val="00CE5BA9"/>
    <w:rsid w:val="00CE7C78"/>
    <w:rsid w:val="00CF0966"/>
    <w:rsid w:val="00CF6C11"/>
    <w:rsid w:val="00D015FC"/>
    <w:rsid w:val="00D03203"/>
    <w:rsid w:val="00D03510"/>
    <w:rsid w:val="00D03558"/>
    <w:rsid w:val="00D10692"/>
    <w:rsid w:val="00D11A17"/>
    <w:rsid w:val="00D17CC6"/>
    <w:rsid w:val="00D248B4"/>
    <w:rsid w:val="00D25B4A"/>
    <w:rsid w:val="00D26A1C"/>
    <w:rsid w:val="00D3068C"/>
    <w:rsid w:val="00D366A4"/>
    <w:rsid w:val="00D37942"/>
    <w:rsid w:val="00D41D51"/>
    <w:rsid w:val="00D41F80"/>
    <w:rsid w:val="00D42C03"/>
    <w:rsid w:val="00D457C1"/>
    <w:rsid w:val="00D473B4"/>
    <w:rsid w:val="00D50B13"/>
    <w:rsid w:val="00D544BC"/>
    <w:rsid w:val="00D569ED"/>
    <w:rsid w:val="00D6116F"/>
    <w:rsid w:val="00D61207"/>
    <w:rsid w:val="00D62DCE"/>
    <w:rsid w:val="00D66559"/>
    <w:rsid w:val="00D75A3A"/>
    <w:rsid w:val="00D80F2D"/>
    <w:rsid w:val="00D81B50"/>
    <w:rsid w:val="00D834B7"/>
    <w:rsid w:val="00D83DBA"/>
    <w:rsid w:val="00D9201C"/>
    <w:rsid w:val="00DB5C89"/>
    <w:rsid w:val="00DE0189"/>
    <w:rsid w:val="00DE06E9"/>
    <w:rsid w:val="00DE4846"/>
    <w:rsid w:val="00DE5638"/>
    <w:rsid w:val="00DE62F5"/>
    <w:rsid w:val="00DE7297"/>
    <w:rsid w:val="00DF1A44"/>
    <w:rsid w:val="00DF37A4"/>
    <w:rsid w:val="00DF3CF1"/>
    <w:rsid w:val="00DF6662"/>
    <w:rsid w:val="00DF6F15"/>
    <w:rsid w:val="00E014AD"/>
    <w:rsid w:val="00E04ADE"/>
    <w:rsid w:val="00E123EF"/>
    <w:rsid w:val="00E13061"/>
    <w:rsid w:val="00E16EA4"/>
    <w:rsid w:val="00E217AE"/>
    <w:rsid w:val="00E225A0"/>
    <w:rsid w:val="00E23343"/>
    <w:rsid w:val="00E266FA"/>
    <w:rsid w:val="00E32425"/>
    <w:rsid w:val="00E37EB5"/>
    <w:rsid w:val="00E40A3B"/>
    <w:rsid w:val="00E41888"/>
    <w:rsid w:val="00E4538E"/>
    <w:rsid w:val="00E4567B"/>
    <w:rsid w:val="00E45FA1"/>
    <w:rsid w:val="00E507EF"/>
    <w:rsid w:val="00E50F05"/>
    <w:rsid w:val="00E5114F"/>
    <w:rsid w:val="00E54469"/>
    <w:rsid w:val="00E63F4A"/>
    <w:rsid w:val="00E66A28"/>
    <w:rsid w:val="00E678AB"/>
    <w:rsid w:val="00E70733"/>
    <w:rsid w:val="00E844B8"/>
    <w:rsid w:val="00E9653C"/>
    <w:rsid w:val="00E966BE"/>
    <w:rsid w:val="00E96F5D"/>
    <w:rsid w:val="00EA27B0"/>
    <w:rsid w:val="00EC0E28"/>
    <w:rsid w:val="00EC4441"/>
    <w:rsid w:val="00EC5402"/>
    <w:rsid w:val="00EC6C80"/>
    <w:rsid w:val="00EC7E2C"/>
    <w:rsid w:val="00ED2222"/>
    <w:rsid w:val="00ED60A9"/>
    <w:rsid w:val="00ED7CBB"/>
    <w:rsid w:val="00EE4555"/>
    <w:rsid w:val="00EE65A3"/>
    <w:rsid w:val="00EE6BF0"/>
    <w:rsid w:val="00EE744E"/>
    <w:rsid w:val="00EE7ED1"/>
    <w:rsid w:val="00EF1443"/>
    <w:rsid w:val="00EF384C"/>
    <w:rsid w:val="00EF76F8"/>
    <w:rsid w:val="00F0147C"/>
    <w:rsid w:val="00F02122"/>
    <w:rsid w:val="00F02726"/>
    <w:rsid w:val="00F039D9"/>
    <w:rsid w:val="00F07E7E"/>
    <w:rsid w:val="00F11513"/>
    <w:rsid w:val="00F11ABB"/>
    <w:rsid w:val="00F2071A"/>
    <w:rsid w:val="00F242CB"/>
    <w:rsid w:val="00F349E9"/>
    <w:rsid w:val="00F425CF"/>
    <w:rsid w:val="00F43528"/>
    <w:rsid w:val="00F4666E"/>
    <w:rsid w:val="00F515AE"/>
    <w:rsid w:val="00F519F0"/>
    <w:rsid w:val="00F528EE"/>
    <w:rsid w:val="00F53AE3"/>
    <w:rsid w:val="00F60141"/>
    <w:rsid w:val="00F62AC2"/>
    <w:rsid w:val="00F64CC6"/>
    <w:rsid w:val="00F65EDF"/>
    <w:rsid w:val="00F80327"/>
    <w:rsid w:val="00F85146"/>
    <w:rsid w:val="00F87552"/>
    <w:rsid w:val="00F90AB6"/>
    <w:rsid w:val="00F9489D"/>
    <w:rsid w:val="00F96CAC"/>
    <w:rsid w:val="00F97E7A"/>
    <w:rsid w:val="00FA311A"/>
    <w:rsid w:val="00FA6097"/>
    <w:rsid w:val="00FB0323"/>
    <w:rsid w:val="00FB0C57"/>
    <w:rsid w:val="00FB34C3"/>
    <w:rsid w:val="00FC22E2"/>
    <w:rsid w:val="00FC3ADE"/>
    <w:rsid w:val="00FC7695"/>
    <w:rsid w:val="00FD3FCC"/>
    <w:rsid w:val="00FD5FD5"/>
    <w:rsid w:val="00FE111C"/>
    <w:rsid w:val="00FE1B96"/>
    <w:rsid w:val="00FE3F16"/>
    <w:rsid w:val="00FE4F45"/>
    <w:rsid w:val="00FF1DA0"/>
    <w:rsid w:val="00FF5CC1"/>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3</cp:revision>
  <cp:lastPrinted>2015-01-27T21:30:00Z</cp:lastPrinted>
  <dcterms:created xsi:type="dcterms:W3CDTF">2015-01-30T14:29:00Z</dcterms:created>
  <dcterms:modified xsi:type="dcterms:W3CDTF">2015-01-30T14:31:00Z</dcterms:modified>
</cp:coreProperties>
</file>